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5"/>
        <w:gridCol w:w="7247"/>
        <w:gridCol w:w="269"/>
        <w:gridCol w:w="273"/>
        <w:gridCol w:w="398"/>
      </w:tblGrid>
      <w:tr w:rsidR="00C11AD8" w14:paraId="3F32DBE8" w14:textId="77777777" w:rsidTr="00CE2F5F">
        <w:trPr>
          <w:gridAfter w:val="3"/>
          <w:wAfter w:w="7272" w:type="dxa"/>
        </w:trPr>
        <w:tc>
          <w:tcPr>
            <w:tcW w:w="9287" w:type="dxa"/>
            <w:gridSpan w:val="2"/>
          </w:tcPr>
          <w:p w14:paraId="34C686EC" w14:textId="77777777" w:rsidR="00C11AD8" w:rsidRPr="00186D08" w:rsidRDefault="00C11AD8" w:rsidP="00F22A34">
            <w:pPr>
              <w:rPr>
                <w:rFonts w:cs="Arial"/>
                <w:b/>
                <w:sz w:val="28"/>
                <w:szCs w:val="28"/>
              </w:rPr>
            </w:pPr>
            <w:r>
              <w:rPr>
                <w:noProof/>
              </w:rPr>
              <w:drawing>
                <wp:inline distT="0" distB="0" distL="0" distR="0" wp14:anchorId="66EE47E5" wp14:editId="5E490145">
                  <wp:extent cx="4975860" cy="914400"/>
                  <wp:effectExtent l="19050" t="0" r="0" b="0"/>
                  <wp:docPr id="3" name="Bilde 1" descr="Brevmal-heade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mal-header-300"/>
                          <pic:cNvPicPr>
                            <a:picLocks noChangeAspect="1" noChangeArrowheads="1"/>
                          </pic:cNvPicPr>
                        </pic:nvPicPr>
                        <pic:blipFill>
                          <a:blip r:embed="rId11" cstate="print"/>
                          <a:srcRect/>
                          <a:stretch>
                            <a:fillRect/>
                          </a:stretch>
                        </pic:blipFill>
                        <pic:spPr bwMode="auto">
                          <a:xfrm>
                            <a:off x="0" y="0"/>
                            <a:ext cx="4975860" cy="914400"/>
                          </a:xfrm>
                          <a:prstGeom prst="rect">
                            <a:avLst/>
                          </a:prstGeom>
                          <a:noFill/>
                          <a:ln w="9525">
                            <a:noFill/>
                            <a:miter lim="800000"/>
                            <a:headEnd/>
                            <a:tailEnd/>
                          </a:ln>
                        </pic:spPr>
                      </pic:pic>
                    </a:graphicData>
                  </a:graphic>
                </wp:inline>
              </w:drawing>
            </w:r>
          </w:p>
        </w:tc>
      </w:tr>
      <w:tr w:rsidR="00C11AD8" w14:paraId="1E79F866" w14:textId="77777777" w:rsidTr="00CE2F5F">
        <w:trPr>
          <w:gridAfter w:val="3"/>
          <w:wAfter w:w="7272" w:type="dxa"/>
        </w:trPr>
        <w:tc>
          <w:tcPr>
            <w:tcW w:w="9287" w:type="dxa"/>
            <w:gridSpan w:val="2"/>
          </w:tcPr>
          <w:p w14:paraId="1D2B3AC2" w14:textId="77777777" w:rsidR="00C11AD8" w:rsidRPr="00186D08" w:rsidRDefault="00C11AD8" w:rsidP="00F22A34">
            <w:pPr>
              <w:jc w:val="center"/>
              <w:rPr>
                <w:rFonts w:cs="Arial"/>
                <w:b/>
                <w:sz w:val="28"/>
                <w:szCs w:val="28"/>
              </w:rPr>
            </w:pPr>
          </w:p>
        </w:tc>
      </w:tr>
      <w:tr w:rsidR="00C11AD8" w14:paraId="20135A1D" w14:textId="77777777" w:rsidTr="00CE2F5F">
        <w:trPr>
          <w:gridAfter w:val="3"/>
          <w:wAfter w:w="7272" w:type="dxa"/>
        </w:trPr>
        <w:tc>
          <w:tcPr>
            <w:tcW w:w="9287" w:type="dxa"/>
            <w:gridSpan w:val="2"/>
          </w:tcPr>
          <w:p w14:paraId="483B2550" w14:textId="77777777" w:rsidR="00C11AD8" w:rsidRPr="00186D08" w:rsidRDefault="00C11AD8" w:rsidP="00F22A34">
            <w:pPr>
              <w:jc w:val="center"/>
              <w:rPr>
                <w:rFonts w:cs="Arial"/>
                <w:b/>
                <w:sz w:val="28"/>
                <w:szCs w:val="28"/>
              </w:rPr>
            </w:pPr>
          </w:p>
        </w:tc>
      </w:tr>
      <w:tr w:rsidR="00C11AD8" w14:paraId="3BD6236A" w14:textId="77777777" w:rsidTr="5663A662">
        <w:tc>
          <w:tcPr>
            <w:tcW w:w="885" w:type="dxa"/>
          </w:tcPr>
          <w:p w14:paraId="2174BB2A" w14:textId="77777777" w:rsidR="00C11AD8" w:rsidRPr="000248C7" w:rsidRDefault="00C11AD8" w:rsidP="00F22A34">
            <w:pPr>
              <w:rPr>
                <w:szCs w:val="24"/>
              </w:rPr>
            </w:pPr>
          </w:p>
        </w:tc>
        <w:tc>
          <w:tcPr>
            <w:tcW w:w="2829" w:type="dxa"/>
          </w:tcPr>
          <w:p w14:paraId="163D0FAE" w14:textId="77777777" w:rsidR="00C11AD8" w:rsidRPr="000248C7" w:rsidRDefault="00C11AD8" w:rsidP="00F22A34">
            <w:pPr>
              <w:rPr>
                <w:szCs w:val="24"/>
              </w:rPr>
            </w:pPr>
          </w:p>
        </w:tc>
        <w:tc>
          <w:tcPr>
            <w:tcW w:w="1356" w:type="dxa"/>
          </w:tcPr>
          <w:p w14:paraId="3F8F3C62" w14:textId="77777777" w:rsidR="00C11AD8" w:rsidRPr="000248C7" w:rsidRDefault="00C11AD8" w:rsidP="00F22A34">
            <w:pPr>
              <w:rPr>
                <w:sz w:val="16"/>
                <w:szCs w:val="16"/>
              </w:rPr>
            </w:pPr>
          </w:p>
        </w:tc>
        <w:tc>
          <w:tcPr>
            <w:tcW w:w="1461" w:type="dxa"/>
          </w:tcPr>
          <w:p w14:paraId="750C61F3" w14:textId="77777777" w:rsidR="00C11AD8" w:rsidRPr="00692000" w:rsidRDefault="00C11AD8" w:rsidP="00F22A34">
            <w:pPr>
              <w:rPr>
                <w:i/>
                <w:sz w:val="20"/>
              </w:rPr>
            </w:pPr>
          </w:p>
        </w:tc>
        <w:tc>
          <w:tcPr>
            <w:tcW w:w="2756" w:type="dxa"/>
          </w:tcPr>
          <w:p w14:paraId="7716AC1F" w14:textId="77777777" w:rsidR="00C11AD8" w:rsidRPr="00692000" w:rsidRDefault="00C11AD8" w:rsidP="00F22A34">
            <w:pPr>
              <w:rPr>
                <w:sz w:val="20"/>
              </w:rPr>
            </w:pPr>
          </w:p>
        </w:tc>
      </w:tr>
    </w:tbl>
    <w:p w14:paraId="2119609E" w14:textId="77777777" w:rsidR="00C11AD8" w:rsidRDefault="00C11AD8" w:rsidP="00C11AD8">
      <w:pPr>
        <w:pStyle w:val="Overskrift1"/>
        <w:tabs>
          <w:tab w:val="left" w:pos="7620"/>
        </w:tabs>
      </w:pPr>
      <w:r>
        <w:tab/>
      </w:r>
    </w:p>
    <w:p w14:paraId="659C4F55" w14:textId="77777777" w:rsidR="00C11AD8" w:rsidRDefault="00C11AD8" w:rsidP="00C11AD8">
      <w:pPr>
        <w:pStyle w:val="Overskrift1"/>
        <w:jc w:val="center"/>
      </w:pPr>
    </w:p>
    <w:p w14:paraId="389C6A16" w14:textId="77777777" w:rsidR="00C11AD8" w:rsidRDefault="61515D21" w:rsidP="61515D21">
      <w:pPr>
        <w:rPr>
          <w:sz w:val="56"/>
          <w:szCs w:val="56"/>
        </w:rPr>
      </w:pPr>
      <w:r w:rsidRPr="61515D21">
        <w:rPr>
          <w:sz w:val="56"/>
          <w:szCs w:val="56"/>
        </w:rPr>
        <w:t>Tolking av regelverket for finansiering av etter- og videreutdanning (EVU)</w:t>
      </w:r>
    </w:p>
    <w:p w14:paraId="639EB1A5" w14:textId="77777777" w:rsidR="00DC435C" w:rsidRDefault="00DC435C" w:rsidP="00C11AD8"/>
    <w:p w14:paraId="5A11F71C" w14:textId="77777777" w:rsidR="00C11AD8" w:rsidRPr="00DC435C" w:rsidRDefault="61515D21" w:rsidP="61515D21">
      <w:pPr>
        <w:jc w:val="center"/>
        <w:rPr>
          <w:sz w:val="40"/>
          <w:szCs w:val="40"/>
        </w:rPr>
      </w:pPr>
      <w:r w:rsidRPr="61515D21">
        <w:rPr>
          <w:sz w:val="40"/>
          <w:szCs w:val="40"/>
        </w:rPr>
        <w:t>Veiledende anbefalte retningslinjer for finansiering av etter- og videreutdanning.</w:t>
      </w:r>
    </w:p>
    <w:p w14:paraId="7E41C3C9" w14:textId="77777777" w:rsidR="00C11AD8" w:rsidRDefault="00C11AD8" w:rsidP="00C11AD8"/>
    <w:p w14:paraId="3C00F553" w14:textId="77777777" w:rsidR="00C11AD8" w:rsidRDefault="00C11AD8" w:rsidP="00C11AD8"/>
    <w:p w14:paraId="0BD03C02" w14:textId="77777777" w:rsidR="00C11AD8" w:rsidRDefault="00C11AD8" w:rsidP="00C11AD8"/>
    <w:p w14:paraId="4E9ADDCF" w14:textId="77777777" w:rsidR="00C11AD8" w:rsidRDefault="00C11AD8" w:rsidP="00C11AD8"/>
    <w:p w14:paraId="263C3A2C" w14:textId="77777777" w:rsidR="00C11AD8" w:rsidRDefault="00C11AD8" w:rsidP="00C11AD8"/>
    <w:p w14:paraId="6F907A01" w14:textId="69168607" w:rsidR="00C11AD8" w:rsidRPr="00570822" w:rsidRDefault="61515D21" w:rsidP="61515D21">
      <w:pPr>
        <w:jc w:val="center"/>
        <w:rPr>
          <w:sz w:val="28"/>
          <w:szCs w:val="28"/>
        </w:rPr>
      </w:pPr>
      <w:r w:rsidRPr="61515D21">
        <w:rPr>
          <w:sz w:val="28"/>
          <w:szCs w:val="28"/>
        </w:rPr>
        <w:t>Notat fra en nasjonal arbeidsgruppe oppnevnt av UHR</w:t>
      </w:r>
      <w:r w:rsidR="008C6B89">
        <w:rPr>
          <w:sz w:val="28"/>
          <w:szCs w:val="28"/>
        </w:rPr>
        <w:t>-Administrasjon</w:t>
      </w:r>
    </w:p>
    <w:p w14:paraId="14A57845" w14:textId="77777777" w:rsidR="00C11AD8" w:rsidRPr="00570822" w:rsidRDefault="005678F7" w:rsidP="61515D21">
      <w:pPr>
        <w:jc w:val="center"/>
        <w:rPr>
          <w:sz w:val="28"/>
          <w:szCs w:val="28"/>
        </w:rPr>
      </w:pPr>
      <w:r>
        <w:rPr>
          <w:sz w:val="28"/>
          <w:szCs w:val="28"/>
        </w:rPr>
        <w:t>1</w:t>
      </w:r>
      <w:r w:rsidR="61515D21" w:rsidRPr="61515D21">
        <w:rPr>
          <w:sz w:val="28"/>
          <w:szCs w:val="28"/>
        </w:rPr>
        <w:t>5. juni 2018</w:t>
      </w:r>
    </w:p>
    <w:p w14:paraId="2B03A4F1" w14:textId="77777777" w:rsidR="00087E50" w:rsidRDefault="00C11AD8" w:rsidP="00C11AD8">
      <w:pPr>
        <w:spacing w:after="0" w:afterAutospacing="0"/>
      </w:pPr>
      <w:r>
        <w:br w:type="page"/>
      </w:r>
    </w:p>
    <w:sdt>
      <w:sdtPr>
        <w:rPr>
          <w:rFonts w:ascii="Times New Roman" w:eastAsia="Times New Roman" w:hAnsi="Times New Roman" w:cs="Times New Roman"/>
          <w:color w:val="auto"/>
          <w:sz w:val="24"/>
          <w:szCs w:val="20"/>
        </w:rPr>
        <w:id w:val="-2078123738"/>
        <w:docPartObj>
          <w:docPartGallery w:val="Table of Contents"/>
          <w:docPartUnique/>
        </w:docPartObj>
      </w:sdtPr>
      <w:sdtEndPr>
        <w:rPr>
          <w:b/>
          <w:bCs/>
        </w:rPr>
      </w:sdtEndPr>
      <w:sdtContent>
        <w:p w14:paraId="45DB7C08" w14:textId="77777777" w:rsidR="00087E50" w:rsidRDefault="28257F58">
          <w:pPr>
            <w:pStyle w:val="Overskriftforinnholdsfortegnelse"/>
          </w:pPr>
          <w:r>
            <w:t>Innhold</w:t>
          </w:r>
        </w:p>
        <w:p w14:paraId="491F9B3B" w14:textId="6B0E47DF" w:rsidR="00B76AD7" w:rsidRDefault="00087E50">
          <w:pPr>
            <w:pStyle w:val="INNH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6731413" w:history="1">
            <w:r w:rsidR="00B76AD7" w:rsidRPr="002F5D2B">
              <w:rPr>
                <w:rStyle w:val="Hyperkobling"/>
                <w:rFonts w:eastAsiaTheme="majorEastAsia"/>
                <w:noProof/>
              </w:rPr>
              <w:t>Sammendrag</w:t>
            </w:r>
            <w:r w:rsidR="00B76AD7">
              <w:rPr>
                <w:noProof/>
                <w:webHidden/>
              </w:rPr>
              <w:tab/>
            </w:r>
            <w:r w:rsidR="00B76AD7">
              <w:rPr>
                <w:noProof/>
                <w:webHidden/>
              </w:rPr>
              <w:fldChar w:fldCharType="begin"/>
            </w:r>
            <w:r w:rsidR="00B76AD7">
              <w:rPr>
                <w:noProof/>
                <w:webHidden/>
              </w:rPr>
              <w:instrText xml:space="preserve"> PAGEREF _Toc516731413 \h </w:instrText>
            </w:r>
            <w:r w:rsidR="00B76AD7">
              <w:rPr>
                <w:noProof/>
                <w:webHidden/>
              </w:rPr>
            </w:r>
            <w:r w:rsidR="00B76AD7">
              <w:rPr>
                <w:noProof/>
                <w:webHidden/>
              </w:rPr>
              <w:fldChar w:fldCharType="separate"/>
            </w:r>
            <w:r w:rsidR="00B76AD7">
              <w:rPr>
                <w:noProof/>
                <w:webHidden/>
              </w:rPr>
              <w:t>4</w:t>
            </w:r>
            <w:r w:rsidR="00B76AD7">
              <w:rPr>
                <w:noProof/>
                <w:webHidden/>
              </w:rPr>
              <w:fldChar w:fldCharType="end"/>
            </w:r>
          </w:hyperlink>
        </w:p>
        <w:p w14:paraId="5C92FB2D" w14:textId="76F51ADF" w:rsidR="00B76AD7" w:rsidRDefault="00B76AD7">
          <w:pPr>
            <w:pStyle w:val="INNH2"/>
            <w:rPr>
              <w:rFonts w:asciiTheme="minorHAnsi" w:eastAsiaTheme="minorEastAsia" w:hAnsiTheme="minorHAnsi" w:cstheme="minorBidi"/>
              <w:noProof/>
              <w:sz w:val="22"/>
              <w:szCs w:val="22"/>
            </w:rPr>
          </w:pPr>
          <w:hyperlink w:anchor="_Toc516731414" w:history="1">
            <w:r w:rsidRPr="002F5D2B">
              <w:rPr>
                <w:rStyle w:val="Hyperkobling"/>
                <w:rFonts w:eastAsiaTheme="majorEastAsia"/>
                <w:noProof/>
              </w:rPr>
              <w:t>Leseveiledning</w:t>
            </w:r>
            <w:r>
              <w:rPr>
                <w:noProof/>
                <w:webHidden/>
              </w:rPr>
              <w:tab/>
            </w:r>
            <w:r>
              <w:rPr>
                <w:noProof/>
                <w:webHidden/>
              </w:rPr>
              <w:fldChar w:fldCharType="begin"/>
            </w:r>
            <w:r>
              <w:rPr>
                <w:noProof/>
                <w:webHidden/>
              </w:rPr>
              <w:instrText xml:space="preserve"> PAGEREF _Toc516731414 \h </w:instrText>
            </w:r>
            <w:r>
              <w:rPr>
                <w:noProof/>
                <w:webHidden/>
              </w:rPr>
            </w:r>
            <w:r>
              <w:rPr>
                <w:noProof/>
                <w:webHidden/>
              </w:rPr>
              <w:fldChar w:fldCharType="separate"/>
            </w:r>
            <w:r>
              <w:rPr>
                <w:noProof/>
                <w:webHidden/>
              </w:rPr>
              <w:t>6</w:t>
            </w:r>
            <w:r>
              <w:rPr>
                <w:noProof/>
                <w:webHidden/>
              </w:rPr>
              <w:fldChar w:fldCharType="end"/>
            </w:r>
          </w:hyperlink>
        </w:p>
        <w:p w14:paraId="0DBAD7E6" w14:textId="5C1E8421" w:rsidR="00B76AD7" w:rsidRDefault="00B76AD7">
          <w:pPr>
            <w:pStyle w:val="INNH2"/>
            <w:tabs>
              <w:tab w:val="left" w:pos="660"/>
            </w:tabs>
            <w:rPr>
              <w:rFonts w:asciiTheme="minorHAnsi" w:eastAsiaTheme="minorEastAsia" w:hAnsiTheme="minorHAnsi" w:cstheme="minorBidi"/>
              <w:noProof/>
              <w:sz w:val="22"/>
              <w:szCs w:val="22"/>
            </w:rPr>
          </w:pPr>
          <w:hyperlink w:anchor="_Toc516731415" w:history="1">
            <w:r w:rsidRPr="002F5D2B">
              <w:rPr>
                <w:rStyle w:val="Hyperkobling"/>
                <w:rFonts w:eastAsiaTheme="majorEastAsia"/>
                <w:noProof/>
              </w:rPr>
              <w:t>1</w:t>
            </w:r>
            <w:r>
              <w:rPr>
                <w:rFonts w:asciiTheme="minorHAnsi" w:eastAsiaTheme="minorEastAsia" w:hAnsiTheme="minorHAnsi" w:cstheme="minorBidi"/>
                <w:noProof/>
                <w:sz w:val="22"/>
                <w:szCs w:val="22"/>
              </w:rPr>
              <w:tab/>
            </w:r>
            <w:r w:rsidRPr="002F5D2B">
              <w:rPr>
                <w:rStyle w:val="Hyperkobling"/>
                <w:rFonts w:eastAsiaTheme="majorEastAsia"/>
                <w:noProof/>
              </w:rPr>
              <w:t>Innledning</w:t>
            </w:r>
            <w:r>
              <w:rPr>
                <w:noProof/>
                <w:webHidden/>
              </w:rPr>
              <w:tab/>
            </w:r>
            <w:r>
              <w:rPr>
                <w:noProof/>
                <w:webHidden/>
              </w:rPr>
              <w:fldChar w:fldCharType="begin"/>
            </w:r>
            <w:r>
              <w:rPr>
                <w:noProof/>
                <w:webHidden/>
              </w:rPr>
              <w:instrText xml:space="preserve"> PAGEREF _Toc516731415 \h </w:instrText>
            </w:r>
            <w:r>
              <w:rPr>
                <w:noProof/>
                <w:webHidden/>
              </w:rPr>
            </w:r>
            <w:r>
              <w:rPr>
                <w:noProof/>
                <w:webHidden/>
              </w:rPr>
              <w:fldChar w:fldCharType="separate"/>
            </w:r>
            <w:r>
              <w:rPr>
                <w:noProof/>
                <w:webHidden/>
              </w:rPr>
              <w:t>7</w:t>
            </w:r>
            <w:r>
              <w:rPr>
                <w:noProof/>
                <w:webHidden/>
              </w:rPr>
              <w:fldChar w:fldCharType="end"/>
            </w:r>
          </w:hyperlink>
        </w:p>
        <w:p w14:paraId="53F95145" w14:textId="3517B1B0" w:rsidR="00B76AD7" w:rsidRDefault="00B76AD7">
          <w:pPr>
            <w:pStyle w:val="INNH3"/>
            <w:tabs>
              <w:tab w:val="right" w:leader="dot" w:pos="9062"/>
            </w:tabs>
            <w:rPr>
              <w:rFonts w:asciiTheme="minorHAnsi" w:eastAsiaTheme="minorEastAsia" w:hAnsiTheme="minorHAnsi" w:cstheme="minorBidi"/>
              <w:noProof/>
              <w:sz w:val="22"/>
              <w:szCs w:val="22"/>
            </w:rPr>
          </w:pPr>
          <w:hyperlink w:anchor="_Toc516731416" w:history="1">
            <w:r w:rsidRPr="002F5D2B">
              <w:rPr>
                <w:rStyle w:val="Hyperkobling"/>
                <w:rFonts w:eastAsiaTheme="majorEastAsia"/>
                <w:bCs/>
                <w:noProof/>
              </w:rPr>
              <w:t>1.1 Bakgrunn</w:t>
            </w:r>
            <w:r>
              <w:rPr>
                <w:noProof/>
                <w:webHidden/>
              </w:rPr>
              <w:tab/>
            </w:r>
            <w:r>
              <w:rPr>
                <w:noProof/>
                <w:webHidden/>
              </w:rPr>
              <w:fldChar w:fldCharType="begin"/>
            </w:r>
            <w:r>
              <w:rPr>
                <w:noProof/>
                <w:webHidden/>
              </w:rPr>
              <w:instrText xml:space="preserve"> PAGEREF _Toc516731416 \h </w:instrText>
            </w:r>
            <w:r>
              <w:rPr>
                <w:noProof/>
                <w:webHidden/>
              </w:rPr>
            </w:r>
            <w:r>
              <w:rPr>
                <w:noProof/>
                <w:webHidden/>
              </w:rPr>
              <w:fldChar w:fldCharType="separate"/>
            </w:r>
            <w:r>
              <w:rPr>
                <w:noProof/>
                <w:webHidden/>
              </w:rPr>
              <w:t>7</w:t>
            </w:r>
            <w:r>
              <w:rPr>
                <w:noProof/>
                <w:webHidden/>
              </w:rPr>
              <w:fldChar w:fldCharType="end"/>
            </w:r>
          </w:hyperlink>
        </w:p>
        <w:p w14:paraId="1EAF9F2E" w14:textId="50356B69" w:rsidR="00B76AD7" w:rsidRDefault="00B76AD7">
          <w:pPr>
            <w:pStyle w:val="INNH3"/>
            <w:tabs>
              <w:tab w:val="right" w:leader="dot" w:pos="9062"/>
            </w:tabs>
            <w:rPr>
              <w:rFonts w:asciiTheme="minorHAnsi" w:eastAsiaTheme="minorEastAsia" w:hAnsiTheme="minorHAnsi" w:cstheme="minorBidi"/>
              <w:noProof/>
              <w:sz w:val="22"/>
              <w:szCs w:val="22"/>
            </w:rPr>
          </w:pPr>
          <w:hyperlink w:anchor="_Toc516731417" w:history="1">
            <w:r w:rsidRPr="002F5D2B">
              <w:rPr>
                <w:rStyle w:val="Hyperkobling"/>
                <w:rFonts w:eastAsiaTheme="majorEastAsia"/>
                <w:bCs/>
                <w:noProof/>
              </w:rPr>
              <w:t>1.2 Mandat og oppnevning av arbeidsgruppe</w:t>
            </w:r>
            <w:r>
              <w:rPr>
                <w:noProof/>
                <w:webHidden/>
              </w:rPr>
              <w:tab/>
            </w:r>
            <w:r>
              <w:rPr>
                <w:noProof/>
                <w:webHidden/>
              </w:rPr>
              <w:fldChar w:fldCharType="begin"/>
            </w:r>
            <w:r>
              <w:rPr>
                <w:noProof/>
                <w:webHidden/>
              </w:rPr>
              <w:instrText xml:space="preserve"> PAGEREF _Toc516731417 \h </w:instrText>
            </w:r>
            <w:r>
              <w:rPr>
                <w:noProof/>
                <w:webHidden/>
              </w:rPr>
            </w:r>
            <w:r>
              <w:rPr>
                <w:noProof/>
                <w:webHidden/>
              </w:rPr>
              <w:fldChar w:fldCharType="separate"/>
            </w:r>
            <w:r>
              <w:rPr>
                <w:noProof/>
                <w:webHidden/>
              </w:rPr>
              <w:t>8</w:t>
            </w:r>
            <w:r>
              <w:rPr>
                <w:noProof/>
                <w:webHidden/>
              </w:rPr>
              <w:fldChar w:fldCharType="end"/>
            </w:r>
          </w:hyperlink>
        </w:p>
        <w:p w14:paraId="527A7CC1" w14:textId="138528F6" w:rsidR="00B76AD7" w:rsidRDefault="00B76AD7">
          <w:pPr>
            <w:pStyle w:val="INNH2"/>
            <w:tabs>
              <w:tab w:val="left" w:pos="660"/>
            </w:tabs>
            <w:rPr>
              <w:rFonts w:asciiTheme="minorHAnsi" w:eastAsiaTheme="minorEastAsia" w:hAnsiTheme="minorHAnsi" w:cstheme="minorBidi"/>
              <w:noProof/>
              <w:sz w:val="22"/>
              <w:szCs w:val="22"/>
            </w:rPr>
          </w:pPr>
          <w:hyperlink w:anchor="_Toc516731418" w:history="1">
            <w:r w:rsidRPr="002F5D2B">
              <w:rPr>
                <w:rStyle w:val="Hyperkobling"/>
                <w:rFonts w:eastAsiaTheme="majorEastAsia"/>
                <w:noProof/>
              </w:rPr>
              <w:t>2</w:t>
            </w:r>
            <w:r>
              <w:rPr>
                <w:rFonts w:asciiTheme="minorHAnsi" w:eastAsiaTheme="minorEastAsia" w:hAnsiTheme="minorHAnsi" w:cstheme="minorBidi"/>
                <w:noProof/>
                <w:sz w:val="22"/>
                <w:szCs w:val="22"/>
              </w:rPr>
              <w:tab/>
            </w:r>
            <w:r w:rsidRPr="002F5D2B">
              <w:rPr>
                <w:rStyle w:val="Hyperkobling"/>
                <w:rFonts w:eastAsiaTheme="majorEastAsia"/>
                <w:noProof/>
              </w:rPr>
              <w:t>Definisjoner og klassifisering av EVU</w:t>
            </w:r>
            <w:r>
              <w:rPr>
                <w:noProof/>
                <w:webHidden/>
              </w:rPr>
              <w:tab/>
            </w:r>
            <w:r>
              <w:rPr>
                <w:noProof/>
                <w:webHidden/>
              </w:rPr>
              <w:fldChar w:fldCharType="begin"/>
            </w:r>
            <w:r>
              <w:rPr>
                <w:noProof/>
                <w:webHidden/>
              </w:rPr>
              <w:instrText xml:space="preserve"> PAGEREF _Toc516731418 \h </w:instrText>
            </w:r>
            <w:r>
              <w:rPr>
                <w:noProof/>
                <w:webHidden/>
              </w:rPr>
            </w:r>
            <w:r>
              <w:rPr>
                <w:noProof/>
                <w:webHidden/>
              </w:rPr>
              <w:fldChar w:fldCharType="separate"/>
            </w:r>
            <w:r>
              <w:rPr>
                <w:noProof/>
                <w:webHidden/>
              </w:rPr>
              <w:t>9</w:t>
            </w:r>
            <w:r>
              <w:rPr>
                <w:noProof/>
                <w:webHidden/>
              </w:rPr>
              <w:fldChar w:fldCharType="end"/>
            </w:r>
          </w:hyperlink>
        </w:p>
        <w:p w14:paraId="4010D82C" w14:textId="338E3EB9" w:rsidR="00B76AD7" w:rsidRDefault="00B76AD7">
          <w:pPr>
            <w:pStyle w:val="INNH2"/>
            <w:tabs>
              <w:tab w:val="left" w:pos="660"/>
            </w:tabs>
            <w:rPr>
              <w:rFonts w:asciiTheme="minorHAnsi" w:eastAsiaTheme="minorEastAsia" w:hAnsiTheme="minorHAnsi" w:cstheme="minorBidi"/>
              <w:noProof/>
              <w:sz w:val="22"/>
              <w:szCs w:val="22"/>
            </w:rPr>
          </w:pPr>
          <w:hyperlink w:anchor="_Toc516731419" w:history="1">
            <w:r w:rsidRPr="002F5D2B">
              <w:rPr>
                <w:rStyle w:val="Hyperkobling"/>
                <w:rFonts w:eastAsiaTheme="majorEastAsia"/>
                <w:noProof/>
              </w:rPr>
              <w:t>3</w:t>
            </w:r>
            <w:r>
              <w:rPr>
                <w:rFonts w:asciiTheme="minorHAnsi" w:eastAsiaTheme="minorEastAsia" w:hAnsiTheme="minorHAnsi" w:cstheme="minorBidi"/>
                <w:noProof/>
                <w:sz w:val="22"/>
                <w:szCs w:val="22"/>
              </w:rPr>
              <w:tab/>
            </w:r>
            <w:r w:rsidRPr="002F5D2B">
              <w:rPr>
                <w:rStyle w:val="Hyperkobling"/>
                <w:rFonts w:eastAsiaTheme="majorEastAsia"/>
                <w:noProof/>
              </w:rPr>
              <w:t>Kostnadsberegning og egenfinansiering</w:t>
            </w:r>
            <w:r>
              <w:rPr>
                <w:noProof/>
                <w:webHidden/>
              </w:rPr>
              <w:tab/>
            </w:r>
            <w:r>
              <w:rPr>
                <w:noProof/>
                <w:webHidden/>
              </w:rPr>
              <w:fldChar w:fldCharType="begin"/>
            </w:r>
            <w:r>
              <w:rPr>
                <w:noProof/>
                <w:webHidden/>
              </w:rPr>
              <w:instrText xml:space="preserve"> PAGEREF _Toc516731419 \h </w:instrText>
            </w:r>
            <w:r>
              <w:rPr>
                <w:noProof/>
                <w:webHidden/>
              </w:rPr>
            </w:r>
            <w:r>
              <w:rPr>
                <w:noProof/>
                <w:webHidden/>
              </w:rPr>
              <w:fldChar w:fldCharType="separate"/>
            </w:r>
            <w:r>
              <w:rPr>
                <w:noProof/>
                <w:webHidden/>
              </w:rPr>
              <w:t>12</w:t>
            </w:r>
            <w:r>
              <w:rPr>
                <w:noProof/>
                <w:webHidden/>
              </w:rPr>
              <w:fldChar w:fldCharType="end"/>
            </w:r>
          </w:hyperlink>
        </w:p>
        <w:p w14:paraId="6141E494" w14:textId="5A4A4CA8"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20" w:history="1">
            <w:r w:rsidRPr="002F5D2B">
              <w:rPr>
                <w:rStyle w:val="Hyperkobling"/>
                <w:rFonts w:eastAsiaTheme="majorEastAsia"/>
                <w:noProof/>
              </w:rPr>
              <w:t>3.1</w:t>
            </w:r>
            <w:r>
              <w:rPr>
                <w:rFonts w:asciiTheme="minorHAnsi" w:eastAsiaTheme="minorEastAsia" w:hAnsiTheme="minorHAnsi" w:cstheme="minorBidi"/>
                <w:noProof/>
                <w:sz w:val="22"/>
                <w:szCs w:val="22"/>
              </w:rPr>
              <w:tab/>
            </w:r>
            <w:r w:rsidRPr="002F5D2B">
              <w:rPr>
                <w:rStyle w:val="Hyperkobling"/>
                <w:rFonts w:eastAsiaTheme="majorEastAsia"/>
                <w:noProof/>
              </w:rPr>
              <w:t>TDI-modell for utdanning</w:t>
            </w:r>
            <w:r>
              <w:rPr>
                <w:noProof/>
                <w:webHidden/>
              </w:rPr>
              <w:tab/>
            </w:r>
            <w:r>
              <w:rPr>
                <w:noProof/>
                <w:webHidden/>
              </w:rPr>
              <w:fldChar w:fldCharType="begin"/>
            </w:r>
            <w:r>
              <w:rPr>
                <w:noProof/>
                <w:webHidden/>
              </w:rPr>
              <w:instrText xml:space="preserve"> PAGEREF _Toc516731420 \h </w:instrText>
            </w:r>
            <w:r>
              <w:rPr>
                <w:noProof/>
                <w:webHidden/>
              </w:rPr>
            </w:r>
            <w:r>
              <w:rPr>
                <w:noProof/>
                <w:webHidden/>
              </w:rPr>
              <w:fldChar w:fldCharType="separate"/>
            </w:r>
            <w:r>
              <w:rPr>
                <w:noProof/>
                <w:webHidden/>
              </w:rPr>
              <w:t>12</w:t>
            </w:r>
            <w:r>
              <w:rPr>
                <w:noProof/>
                <w:webHidden/>
              </w:rPr>
              <w:fldChar w:fldCharType="end"/>
            </w:r>
          </w:hyperlink>
        </w:p>
        <w:p w14:paraId="37EADE61" w14:textId="63E15A6E"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21" w:history="1">
            <w:r w:rsidRPr="002F5D2B">
              <w:rPr>
                <w:rStyle w:val="Hyperkobling"/>
                <w:rFonts w:eastAsiaTheme="majorEastAsia"/>
                <w:noProof/>
              </w:rPr>
              <w:t>3.2</w:t>
            </w:r>
            <w:r>
              <w:rPr>
                <w:rFonts w:asciiTheme="minorHAnsi" w:eastAsiaTheme="minorEastAsia" w:hAnsiTheme="minorHAnsi" w:cstheme="minorBidi"/>
                <w:noProof/>
                <w:sz w:val="22"/>
                <w:szCs w:val="22"/>
              </w:rPr>
              <w:tab/>
            </w:r>
            <w:r w:rsidRPr="002F5D2B">
              <w:rPr>
                <w:rStyle w:val="Hyperkobling"/>
                <w:rFonts w:eastAsiaTheme="majorEastAsia"/>
                <w:noProof/>
              </w:rPr>
              <w:t>Beregning av egenfinansiering</w:t>
            </w:r>
            <w:r>
              <w:rPr>
                <w:noProof/>
                <w:webHidden/>
              </w:rPr>
              <w:tab/>
            </w:r>
            <w:r>
              <w:rPr>
                <w:noProof/>
                <w:webHidden/>
              </w:rPr>
              <w:fldChar w:fldCharType="begin"/>
            </w:r>
            <w:r>
              <w:rPr>
                <w:noProof/>
                <w:webHidden/>
              </w:rPr>
              <w:instrText xml:space="preserve"> PAGEREF _Toc516731421 \h </w:instrText>
            </w:r>
            <w:r>
              <w:rPr>
                <w:noProof/>
                <w:webHidden/>
              </w:rPr>
            </w:r>
            <w:r>
              <w:rPr>
                <w:noProof/>
                <w:webHidden/>
              </w:rPr>
              <w:fldChar w:fldCharType="separate"/>
            </w:r>
            <w:r>
              <w:rPr>
                <w:noProof/>
                <w:webHidden/>
              </w:rPr>
              <w:t>12</w:t>
            </w:r>
            <w:r>
              <w:rPr>
                <w:noProof/>
                <w:webHidden/>
              </w:rPr>
              <w:fldChar w:fldCharType="end"/>
            </w:r>
          </w:hyperlink>
        </w:p>
        <w:p w14:paraId="4861F632" w14:textId="35CC9A78" w:rsidR="00B76AD7" w:rsidRDefault="00B76AD7">
          <w:pPr>
            <w:pStyle w:val="INNH2"/>
            <w:tabs>
              <w:tab w:val="left" w:pos="660"/>
            </w:tabs>
            <w:rPr>
              <w:rFonts w:asciiTheme="minorHAnsi" w:eastAsiaTheme="minorEastAsia" w:hAnsiTheme="minorHAnsi" w:cstheme="minorBidi"/>
              <w:noProof/>
              <w:sz w:val="22"/>
              <w:szCs w:val="22"/>
            </w:rPr>
          </w:pPr>
          <w:hyperlink w:anchor="_Toc516731422" w:history="1">
            <w:r w:rsidRPr="002F5D2B">
              <w:rPr>
                <w:rStyle w:val="Hyperkobling"/>
                <w:rFonts w:eastAsiaTheme="majorEastAsia"/>
                <w:noProof/>
              </w:rPr>
              <w:t>4</w:t>
            </w:r>
            <w:r>
              <w:rPr>
                <w:rFonts w:asciiTheme="minorHAnsi" w:eastAsiaTheme="minorEastAsia" w:hAnsiTheme="minorHAnsi" w:cstheme="minorBidi"/>
                <w:noProof/>
                <w:sz w:val="22"/>
                <w:szCs w:val="22"/>
              </w:rPr>
              <w:tab/>
            </w:r>
            <w:r w:rsidRPr="002F5D2B">
              <w:rPr>
                <w:rStyle w:val="Hyperkobling"/>
                <w:rFonts w:eastAsiaTheme="majorEastAsia"/>
                <w:noProof/>
              </w:rPr>
              <w:t>Forståelse av relevante regelverk</w:t>
            </w:r>
            <w:r>
              <w:rPr>
                <w:noProof/>
                <w:webHidden/>
              </w:rPr>
              <w:tab/>
            </w:r>
            <w:r>
              <w:rPr>
                <w:noProof/>
                <w:webHidden/>
              </w:rPr>
              <w:fldChar w:fldCharType="begin"/>
            </w:r>
            <w:r>
              <w:rPr>
                <w:noProof/>
                <w:webHidden/>
              </w:rPr>
              <w:instrText xml:space="preserve"> PAGEREF _Toc516731422 \h </w:instrText>
            </w:r>
            <w:r>
              <w:rPr>
                <w:noProof/>
                <w:webHidden/>
              </w:rPr>
            </w:r>
            <w:r>
              <w:rPr>
                <w:noProof/>
                <w:webHidden/>
              </w:rPr>
              <w:fldChar w:fldCharType="separate"/>
            </w:r>
            <w:r>
              <w:rPr>
                <w:noProof/>
                <w:webHidden/>
              </w:rPr>
              <w:t>14</w:t>
            </w:r>
            <w:r>
              <w:rPr>
                <w:noProof/>
                <w:webHidden/>
              </w:rPr>
              <w:fldChar w:fldCharType="end"/>
            </w:r>
          </w:hyperlink>
        </w:p>
        <w:p w14:paraId="712EB686" w14:textId="62097450" w:rsidR="00B76AD7" w:rsidRPr="00B76AD7" w:rsidRDefault="00B76AD7">
          <w:pPr>
            <w:pStyle w:val="INNH3"/>
            <w:tabs>
              <w:tab w:val="left" w:pos="1100"/>
              <w:tab w:val="right" w:leader="dot" w:pos="9062"/>
            </w:tabs>
            <w:rPr>
              <w:rFonts w:eastAsiaTheme="minorEastAsia"/>
              <w:noProof/>
              <w:sz w:val="22"/>
              <w:szCs w:val="22"/>
            </w:rPr>
          </w:pPr>
          <w:hyperlink w:anchor="_Toc516731423" w:history="1">
            <w:r w:rsidRPr="00B76AD7">
              <w:rPr>
                <w:rStyle w:val="Hyperkobling"/>
                <w:rFonts w:eastAsiaTheme="majorEastAsia"/>
                <w:noProof/>
              </w:rPr>
              <w:t>4.1</w:t>
            </w:r>
            <w:r w:rsidRPr="00B76AD7">
              <w:rPr>
                <w:rFonts w:eastAsiaTheme="minorEastAsia"/>
                <w:noProof/>
                <w:sz w:val="22"/>
                <w:szCs w:val="22"/>
              </w:rPr>
              <w:tab/>
            </w:r>
            <w:r w:rsidRPr="00B76AD7">
              <w:rPr>
                <w:rStyle w:val="Hyperkobling"/>
                <w:rFonts w:eastAsiaTheme="majorEastAsia"/>
                <w:noProof/>
              </w:rPr>
              <w:t>Relevant regelverk</w:t>
            </w:r>
            <w:r w:rsidRPr="00B76AD7">
              <w:rPr>
                <w:noProof/>
                <w:webHidden/>
              </w:rPr>
              <w:tab/>
            </w:r>
            <w:r w:rsidRPr="00B76AD7">
              <w:rPr>
                <w:noProof/>
                <w:webHidden/>
              </w:rPr>
              <w:fldChar w:fldCharType="begin"/>
            </w:r>
            <w:r w:rsidRPr="00B76AD7">
              <w:rPr>
                <w:noProof/>
                <w:webHidden/>
              </w:rPr>
              <w:instrText xml:space="preserve"> PAGEREF _Toc516731423 \h </w:instrText>
            </w:r>
            <w:r w:rsidRPr="00B76AD7">
              <w:rPr>
                <w:noProof/>
                <w:webHidden/>
              </w:rPr>
            </w:r>
            <w:r w:rsidRPr="00B76AD7">
              <w:rPr>
                <w:noProof/>
                <w:webHidden/>
              </w:rPr>
              <w:fldChar w:fldCharType="separate"/>
            </w:r>
            <w:r w:rsidRPr="00B76AD7">
              <w:rPr>
                <w:noProof/>
                <w:webHidden/>
              </w:rPr>
              <w:t>14</w:t>
            </w:r>
            <w:r w:rsidRPr="00B76AD7">
              <w:rPr>
                <w:noProof/>
                <w:webHidden/>
              </w:rPr>
              <w:fldChar w:fldCharType="end"/>
            </w:r>
          </w:hyperlink>
        </w:p>
        <w:p w14:paraId="281D3522" w14:textId="2C23B5D0" w:rsidR="00B76AD7" w:rsidRPr="00B76AD7" w:rsidRDefault="00B76AD7">
          <w:pPr>
            <w:pStyle w:val="INNH3"/>
            <w:tabs>
              <w:tab w:val="left" w:pos="1100"/>
              <w:tab w:val="right" w:leader="dot" w:pos="9062"/>
            </w:tabs>
            <w:rPr>
              <w:rFonts w:eastAsiaTheme="minorEastAsia"/>
              <w:noProof/>
              <w:sz w:val="22"/>
              <w:szCs w:val="22"/>
            </w:rPr>
          </w:pPr>
          <w:hyperlink w:anchor="_Toc516731424" w:history="1">
            <w:r w:rsidRPr="00B76AD7">
              <w:rPr>
                <w:rStyle w:val="Hyperkobling"/>
                <w:rFonts w:eastAsiaTheme="majorEastAsia"/>
                <w:noProof/>
              </w:rPr>
              <w:t>4.2</w:t>
            </w:r>
            <w:r w:rsidRPr="00B76AD7">
              <w:rPr>
                <w:rFonts w:eastAsiaTheme="minorEastAsia"/>
                <w:noProof/>
                <w:sz w:val="22"/>
                <w:szCs w:val="22"/>
              </w:rPr>
              <w:tab/>
            </w:r>
            <w:r w:rsidRPr="00B76AD7">
              <w:rPr>
                <w:rStyle w:val="Hyperkobling"/>
                <w:rFonts w:eastAsiaTheme="majorEastAsia"/>
                <w:noProof/>
              </w:rPr>
              <w:t>Forslag til endringer i egenbetalingsforskriften:</w:t>
            </w:r>
            <w:r w:rsidRPr="00B76AD7">
              <w:rPr>
                <w:noProof/>
                <w:webHidden/>
              </w:rPr>
              <w:tab/>
            </w:r>
            <w:r w:rsidRPr="00B76AD7">
              <w:rPr>
                <w:noProof/>
                <w:webHidden/>
              </w:rPr>
              <w:fldChar w:fldCharType="begin"/>
            </w:r>
            <w:r w:rsidRPr="00B76AD7">
              <w:rPr>
                <w:noProof/>
                <w:webHidden/>
              </w:rPr>
              <w:instrText xml:space="preserve"> PAGEREF _Toc516731424 \h </w:instrText>
            </w:r>
            <w:r w:rsidRPr="00B76AD7">
              <w:rPr>
                <w:noProof/>
                <w:webHidden/>
              </w:rPr>
            </w:r>
            <w:r w:rsidRPr="00B76AD7">
              <w:rPr>
                <w:noProof/>
                <w:webHidden/>
              </w:rPr>
              <w:fldChar w:fldCharType="separate"/>
            </w:r>
            <w:r w:rsidRPr="00B76AD7">
              <w:rPr>
                <w:noProof/>
                <w:webHidden/>
              </w:rPr>
              <w:t>20</w:t>
            </w:r>
            <w:r w:rsidRPr="00B76AD7">
              <w:rPr>
                <w:noProof/>
                <w:webHidden/>
              </w:rPr>
              <w:fldChar w:fldCharType="end"/>
            </w:r>
          </w:hyperlink>
        </w:p>
        <w:p w14:paraId="038C15F9" w14:textId="590ADAB1" w:rsidR="00B76AD7" w:rsidRPr="00B76AD7" w:rsidRDefault="00B76AD7">
          <w:pPr>
            <w:pStyle w:val="INNH3"/>
            <w:tabs>
              <w:tab w:val="left" w:pos="1100"/>
              <w:tab w:val="right" w:leader="dot" w:pos="9062"/>
            </w:tabs>
            <w:rPr>
              <w:rFonts w:eastAsiaTheme="minorEastAsia"/>
              <w:noProof/>
              <w:sz w:val="22"/>
              <w:szCs w:val="22"/>
            </w:rPr>
          </w:pPr>
          <w:hyperlink w:anchor="_Toc516731425" w:history="1">
            <w:r w:rsidRPr="00B76AD7">
              <w:rPr>
                <w:rStyle w:val="Hyperkobling"/>
                <w:rFonts w:eastAsiaTheme="majorEastAsia"/>
                <w:noProof/>
              </w:rPr>
              <w:t>4.3</w:t>
            </w:r>
            <w:r w:rsidRPr="00B76AD7">
              <w:rPr>
                <w:rFonts w:eastAsiaTheme="minorEastAsia"/>
                <w:noProof/>
                <w:sz w:val="22"/>
                <w:szCs w:val="22"/>
              </w:rPr>
              <w:tab/>
            </w:r>
            <w:r w:rsidRPr="00B76AD7">
              <w:rPr>
                <w:rStyle w:val="Hyperkobling"/>
                <w:rFonts w:eastAsiaTheme="majorEastAsia"/>
                <w:noProof/>
              </w:rPr>
              <w:t>Oppsummering</w:t>
            </w:r>
            <w:r w:rsidRPr="00B76AD7">
              <w:rPr>
                <w:noProof/>
                <w:webHidden/>
              </w:rPr>
              <w:tab/>
            </w:r>
            <w:r w:rsidRPr="00B76AD7">
              <w:rPr>
                <w:noProof/>
                <w:webHidden/>
              </w:rPr>
              <w:fldChar w:fldCharType="begin"/>
            </w:r>
            <w:r w:rsidRPr="00B76AD7">
              <w:rPr>
                <w:noProof/>
                <w:webHidden/>
              </w:rPr>
              <w:instrText xml:space="preserve"> PAGEREF _Toc516731425 \h </w:instrText>
            </w:r>
            <w:r w:rsidRPr="00B76AD7">
              <w:rPr>
                <w:noProof/>
                <w:webHidden/>
              </w:rPr>
            </w:r>
            <w:r w:rsidRPr="00B76AD7">
              <w:rPr>
                <w:noProof/>
                <w:webHidden/>
              </w:rPr>
              <w:fldChar w:fldCharType="separate"/>
            </w:r>
            <w:r w:rsidRPr="00B76AD7">
              <w:rPr>
                <w:noProof/>
                <w:webHidden/>
              </w:rPr>
              <w:t>22</w:t>
            </w:r>
            <w:r w:rsidRPr="00B76AD7">
              <w:rPr>
                <w:noProof/>
                <w:webHidden/>
              </w:rPr>
              <w:fldChar w:fldCharType="end"/>
            </w:r>
          </w:hyperlink>
        </w:p>
        <w:p w14:paraId="3033A2E9" w14:textId="27EE7054" w:rsidR="00B76AD7" w:rsidRDefault="00B76AD7">
          <w:pPr>
            <w:pStyle w:val="INNH2"/>
            <w:tabs>
              <w:tab w:val="left" w:pos="660"/>
            </w:tabs>
            <w:rPr>
              <w:rFonts w:asciiTheme="minorHAnsi" w:eastAsiaTheme="minorEastAsia" w:hAnsiTheme="minorHAnsi" w:cstheme="minorBidi"/>
              <w:noProof/>
              <w:sz w:val="22"/>
              <w:szCs w:val="22"/>
            </w:rPr>
          </w:pPr>
          <w:hyperlink w:anchor="_Toc516731426" w:history="1">
            <w:r w:rsidRPr="002F5D2B">
              <w:rPr>
                <w:rStyle w:val="Hyperkobling"/>
                <w:rFonts w:eastAsiaTheme="majorEastAsia"/>
                <w:noProof/>
              </w:rPr>
              <w:t>5</w:t>
            </w:r>
            <w:r>
              <w:rPr>
                <w:rFonts w:asciiTheme="minorHAnsi" w:eastAsiaTheme="minorEastAsia" w:hAnsiTheme="minorHAnsi" w:cstheme="minorBidi"/>
                <w:noProof/>
                <w:sz w:val="22"/>
                <w:szCs w:val="22"/>
              </w:rPr>
              <w:tab/>
            </w:r>
            <w:r w:rsidRPr="002F5D2B">
              <w:rPr>
                <w:rStyle w:val="Hyperkobling"/>
                <w:rFonts w:eastAsiaTheme="majorEastAsia"/>
                <w:noProof/>
              </w:rPr>
              <w:t>Praksis i sektoren - analyser og vurderinger</w:t>
            </w:r>
            <w:r>
              <w:rPr>
                <w:noProof/>
                <w:webHidden/>
              </w:rPr>
              <w:tab/>
            </w:r>
            <w:r>
              <w:rPr>
                <w:noProof/>
                <w:webHidden/>
              </w:rPr>
              <w:fldChar w:fldCharType="begin"/>
            </w:r>
            <w:r>
              <w:rPr>
                <w:noProof/>
                <w:webHidden/>
              </w:rPr>
              <w:instrText xml:space="preserve"> PAGEREF _Toc516731426 \h </w:instrText>
            </w:r>
            <w:r>
              <w:rPr>
                <w:noProof/>
                <w:webHidden/>
              </w:rPr>
            </w:r>
            <w:r>
              <w:rPr>
                <w:noProof/>
                <w:webHidden/>
              </w:rPr>
              <w:fldChar w:fldCharType="separate"/>
            </w:r>
            <w:r>
              <w:rPr>
                <w:noProof/>
                <w:webHidden/>
              </w:rPr>
              <w:t>23</w:t>
            </w:r>
            <w:r>
              <w:rPr>
                <w:noProof/>
                <w:webHidden/>
              </w:rPr>
              <w:fldChar w:fldCharType="end"/>
            </w:r>
          </w:hyperlink>
        </w:p>
        <w:p w14:paraId="47FD99FD" w14:textId="3169CE30"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27" w:history="1">
            <w:r w:rsidRPr="002F5D2B">
              <w:rPr>
                <w:rStyle w:val="Hyperkobling"/>
                <w:rFonts w:eastAsiaTheme="majorEastAsia"/>
                <w:noProof/>
              </w:rPr>
              <w:t>5.1</w:t>
            </w:r>
            <w:r>
              <w:rPr>
                <w:rFonts w:asciiTheme="minorHAnsi" w:eastAsiaTheme="minorEastAsia" w:hAnsiTheme="minorHAnsi" w:cstheme="minorBidi"/>
                <w:noProof/>
                <w:sz w:val="22"/>
                <w:szCs w:val="22"/>
              </w:rPr>
              <w:tab/>
            </w:r>
            <w:r w:rsidRPr="002F5D2B">
              <w:rPr>
                <w:rStyle w:val="Hyperkobling"/>
                <w:rFonts w:eastAsiaTheme="majorEastAsia"/>
                <w:noProof/>
              </w:rPr>
              <w:t>Tallgrunnlag</w:t>
            </w:r>
            <w:r>
              <w:rPr>
                <w:noProof/>
                <w:webHidden/>
              </w:rPr>
              <w:tab/>
            </w:r>
            <w:r>
              <w:rPr>
                <w:noProof/>
                <w:webHidden/>
              </w:rPr>
              <w:fldChar w:fldCharType="begin"/>
            </w:r>
            <w:r>
              <w:rPr>
                <w:noProof/>
                <w:webHidden/>
              </w:rPr>
              <w:instrText xml:space="preserve"> PAGEREF _Toc516731427 \h </w:instrText>
            </w:r>
            <w:r>
              <w:rPr>
                <w:noProof/>
                <w:webHidden/>
              </w:rPr>
            </w:r>
            <w:r>
              <w:rPr>
                <w:noProof/>
                <w:webHidden/>
              </w:rPr>
              <w:fldChar w:fldCharType="separate"/>
            </w:r>
            <w:r>
              <w:rPr>
                <w:noProof/>
                <w:webHidden/>
              </w:rPr>
              <w:t>23</w:t>
            </w:r>
            <w:r>
              <w:rPr>
                <w:noProof/>
                <w:webHidden/>
              </w:rPr>
              <w:fldChar w:fldCharType="end"/>
            </w:r>
          </w:hyperlink>
        </w:p>
        <w:p w14:paraId="6709547A" w14:textId="24A804D2"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28" w:history="1">
            <w:r w:rsidRPr="002F5D2B">
              <w:rPr>
                <w:rStyle w:val="Hyperkobling"/>
                <w:rFonts w:eastAsiaTheme="majorEastAsia"/>
                <w:noProof/>
              </w:rPr>
              <w:t>5.2</w:t>
            </w:r>
            <w:r>
              <w:rPr>
                <w:rFonts w:asciiTheme="minorHAnsi" w:eastAsiaTheme="minorEastAsia" w:hAnsiTheme="minorHAnsi" w:cstheme="minorBidi"/>
                <w:noProof/>
                <w:sz w:val="22"/>
                <w:szCs w:val="22"/>
              </w:rPr>
              <w:tab/>
            </w:r>
            <w:r w:rsidRPr="002F5D2B">
              <w:rPr>
                <w:rStyle w:val="Hyperkobling"/>
                <w:rFonts w:eastAsiaTheme="majorEastAsia"/>
                <w:noProof/>
              </w:rPr>
              <w:t>Fastsettelse av studieavgift for EVU</w:t>
            </w:r>
            <w:r>
              <w:rPr>
                <w:noProof/>
                <w:webHidden/>
              </w:rPr>
              <w:tab/>
            </w:r>
            <w:r>
              <w:rPr>
                <w:noProof/>
                <w:webHidden/>
              </w:rPr>
              <w:fldChar w:fldCharType="begin"/>
            </w:r>
            <w:r>
              <w:rPr>
                <w:noProof/>
                <w:webHidden/>
              </w:rPr>
              <w:instrText xml:space="preserve"> PAGEREF _Toc516731428 \h </w:instrText>
            </w:r>
            <w:r>
              <w:rPr>
                <w:noProof/>
                <w:webHidden/>
              </w:rPr>
            </w:r>
            <w:r>
              <w:rPr>
                <w:noProof/>
                <w:webHidden/>
              </w:rPr>
              <w:fldChar w:fldCharType="separate"/>
            </w:r>
            <w:r>
              <w:rPr>
                <w:noProof/>
                <w:webHidden/>
              </w:rPr>
              <w:t>25</w:t>
            </w:r>
            <w:r>
              <w:rPr>
                <w:noProof/>
                <w:webHidden/>
              </w:rPr>
              <w:fldChar w:fldCharType="end"/>
            </w:r>
          </w:hyperlink>
        </w:p>
        <w:p w14:paraId="6BFAB6CB" w14:textId="654BB4F9"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29" w:history="1">
            <w:r w:rsidRPr="002F5D2B">
              <w:rPr>
                <w:rStyle w:val="Hyperkobling"/>
                <w:rFonts w:eastAsiaTheme="majorEastAsia"/>
                <w:noProof/>
              </w:rPr>
              <w:t>5.3</w:t>
            </w:r>
            <w:r>
              <w:rPr>
                <w:rFonts w:asciiTheme="minorHAnsi" w:eastAsiaTheme="minorEastAsia" w:hAnsiTheme="minorHAnsi" w:cstheme="minorBidi"/>
                <w:noProof/>
                <w:sz w:val="22"/>
                <w:szCs w:val="22"/>
              </w:rPr>
              <w:tab/>
            </w:r>
            <w:r w:rsidRPr="002F5D2B">
              <w:rPr>
                <w:rStyle w:val="Hyperkobling"/>
                <w:rFonts w:eastAsiaTheme="majorEastAsia"/>
                <w:noProof/>
              </w:rPr>
              <w:t>Gratis tilbud versus tilbud med lav studieavgift</w:t>
            </w:r>
            <w:r>
              <w:rPr>
                <w:noProof/>
                <w:webHidden/>
              </w:rPr>
              <w:tab/>
            </w:r>
            <w:r>
              <w:rPr>
                <w:noProof/>
                <w:webHidden/>
              </w:rPr>
              <w:fldChar w:fldCharType="begin"/>
            </w:r>
            <w:r>
              <w:rPr>
                <w:noProof/>
                <w:webHidden/>
              </w:rPr>
              <w:instrText xml:space="preserve"> PAGEREF _Toc516731429 \h </w:instrText>
            </w:r>
            <w:r>
              <w:rPr>
                <w:noProof/>
                <w:webHidden/>
              </w:rPr>
            </w:r>
            <w:r>
              <w:rPr>
                <w:noProof/>
                <w:webHidden/>
              </w:rPr>
              <w:fldChar w:fldCharType="separate"/>
            </w:r>
            <w:r>
              <w:rPr>
                <w:noProof/>
                <w:webHidden/>
              </w:rPr>
              <w:t>26</w:t>
            </w:r>
            <w:r>
              <w:rPr>
                <w:noProof/>
                <w:webHidden/>
              </w:rPr>
              <w:fldChar w:fldCharType="end"/>
            </w:r>
          </w:hyperlink>
        </w:p>
        <w:p w14:paraId="0C4367DC" w14:textId="2EF60482" w:rsidR="00B76AD7" w:rsidRDefault="00B76AD7">
          <w:pPr>
            <w:pStyle w:val="INNH2"/>
            <w:tabs>
              <w:tab w:val="left" w:pos="660"/>
            </w:tabs>
            <w:rPr>
              <w:rFonts w:asciiTheme="minorHAnsi" w:eastAsiaTheme="minorEastAsia" w:hAnsiTheme="minorHAnsi" w:cstheme="minorBidi"/>
              <w:noProof/>
              <w:sz w:val="22"/>
              <w:szCs w:val="22"/>
            </w:rPr>
          </w:pPr>
          <w:hyperlink w:anchor="_Toc516731430" w:history="1">
            <w:r w:rsidRPr="002F5D2B">
              <w:rPr>
                <w:rStyle w:val="Hyperkobling"/>
                <w:rFonts w:eastAsiaTheme="majorEastAsia"/>
                <w:noProof/>
              </w:rPr>
              <w:t>6</w:t>
            </w:r>
            <w:r>
              <w:rPr>
                <w:rFonts w:asciiTheme="minorHAnsi" w:eastAsiaTheme="minorEastAsia" w:hAnsiTheme="minorHAnsi" w:cstheme="minorBidi"/>
                <w:noProof/>
                <w:sz w:val="22"/>
                <w:szCs w:val="22"/>
              </w:rPr>
              <w:tab/>
            </w:r>
            <w:r w:rsidRPr="002F5D2B">
              <w:rPr>
                <w:rStyle w:val="Hyperkobling"/>
                <w:rFonts w:eastAsiaTheme="majorEastAsia"/>
                <w:noProof/>
              </w:rPr>
              <w:t>Arbeidsgruppens fortolkning av egenbetalingsforskriften</w:t>
            </w:r>
            <w:r>
              <w:rPr>
                <w:noProof/>
                <w:webHidden/>
              </w:rPr>
              <w:tab/>
            </w:r>
            <w:r>
              <w:rPr>
                <w:noProof/>
                <w:webHidden/>
              </w:rPr>
              <w:fldChar w:fldCharType="begin"/>
            </w:r>
            <w:r>
              <w:rPr>
                <w:noProof/>
                <w:webHidden/>
              </w:rPr>
              <w:instrText xml:space="preserve"> PAGEREF _Toc516731430 \h </w:instrText>
            </w:r>
            <w:r>
              <w:rPr>
                <w:noProof/>
                <w:webHidden/>
              </w:rPr>
            </w:r>
            <w:r>
              <w:rPr>
                <w:noProof/>
                <w:webHidden/>
              </w:rPr>
              <w:fldChar w:fldCharType="separate"/>
            </w:r>
            <w:r>
              <w:rPr>
                <w:noProof/>
                <w:webHidden/>
              </w:rPr>
              <w:t>27</w:t>
            </w:r>
            <w:r>
              <w:rPr>
                <w:noProof/>
                <w:webHidden/>
              </w:rPr>
              <w:fldChar w:fldCharType="end"/>
            </w:r>
          </w:hyperlink>
        </w:p>
        <w:p w14:paraId="10F41BCC" w14:textId="3E7AB48A"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31" w:history="1">
            <w:r w:rsidRPr="002F5D2B">
              <w:rPr>
                <w:rStyle w:val="Hyperkobling"/>
                <w:rFonts w:eastAsiaTheme="majorEastAsia"/>
                <w:noProof/>
              </w:rPr>
              <w:t>6.1</w:t>
            </w:r>
            <w:r>
              <w:rPr>
                <w:rFonts w:asciiTheme="minorHAnsi" w:eastAsiaTheme="minorEastAsia" w:hAnsiTheme="minorHAnsi" w:cstheme="minorBidi"/>
                <w:noProof/>
                <w:sz w:val="22"/>
                <w:szCs w:val="22"/>
              </w:rPr>
              <w:tab/>
            </w:r>
            <w:r w:rsidRPr="002F5D2B">
              <w:rPr>
                <w:rStyle w:val="Hyperkobling"/>
                <w:rFonts w:eastAsiaTheme="majorEastAsia"/>
                <w:noProof/>
              </w:rPr>
              <w:t>Bakgrunn for og formålet med egenbetalingsforskriften</w:t>
            </w:r>
            <w:r>
              <w:rPr>
                <w:noProof/>
                <w:webHidden/>
              </w:rPr>
              <w:tab/>
            </w:r>
            <w:r>
              <w:rPr>
                <w:noProof/>
                <w:webHidden/>
              </w:rPr>
              <w:fldChar w:fldCharType="begin"/>
            </w:r>
            <w:r>
              <w:rPr>
                <w:noProof/>
                <w:webHidden/>
              </w:rPr>
              <w:instrText xml:space="preserve"> PAGEREF _Toc516731431 \h </w:instrText>
            </w:r>
            <w:r>
              <w:rPr>
                <w:noProof/>
                <w:webHidden/>
              </w:rPr>
            </w:r>
            <w:r>
              <w:rPr>
                <w:noProof/>
                <w:webHidden/>
              </w:rPr>
              <w:fldChar w:fldCharType="separate"/>
            </w:r>
            <w:r>
              <w:rPr>
                <w:noProof/>
                <w:webHidden/>
              </w:rPr>
              <w:t>27</w:t>
            </w:r>
            <w:r>
              <w:rPr>
                <w:noProof/>
                <w:webHidden/>
              </w:rPr>
              <w:fldChar w:fldCharType="end"/>
            </w:r>
          </w:hyperlink>
        </w:p>
        <w:p w14:paraId="7FDB0F69" w14:textId="268B5914"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32" w:history="1">
            <w:r w:rsidRPr="002F5D2B">
              <w:rPr>
                <w:rStyle w:val="Hyperkobling"/>
                <w:rFonts w:eastAsiaTheme="majorEastAsia"/>
                <w:noProof/>
              </w:rPr>
              <w:t>6.2</w:t>
            </w:r>
            <w:r>
              <w:rPr>
                <w:rFonts w:asciiTheme="minorHAnsi" w:eastAsiaTheme="minorEastAsia" w:hAnsiTheme="minorHAnsi" w:cstheme="minorBidi"/>
                <w:noProof/>
                <w:sz w:val="22"/>
                <w:szCs w:val="22"/>
              </w:rPr>
              <w:tab/>
            </w:r>
            <w:r w:rsidRPr="002F5D2B">
              <w:rPr>
                <w:rStyle w:val="Hyperkobling"/>
                <w:rFonts w:eastAsiaTheme="majorEastAsia"/>
                <w:noProof/>
              </w:rPr>
              <w:t>Handlingsrom i statsstøtteregelverket</w:t>
            </w:r>
            <w:r>
              <w:rPr>
                <w:noProof/>
                <w:webHidden/>
              </w:rPr>
              <w:tab/>
            </w:r>
            <w:r>
              <w:rPr>
                <w:noProof/>
                <w:webHidden/>
              </w:rPr>
              <w:fldChar w:fldCharType="begin"/>
            </w:r>
            <w:r>
              <w:rPr>
                <w:noProof/>
                <w:webHidden/>
              </w:rPr>
              <w:instrText xml:space="preserve"> PAGEREF _Toc516731432 \h </w:instrText>
            </w:r>
            <w:r>
              <w:rPr>
                <w:noProof/>
                <w:webHidden/>
              </w:rPr>
            </w:r>
            <w:r>
              <w:rPr>
                <w:noProof/>
                <w:webHidden/>
              </w:rPr>
              <w:fldChar w:fldCharType="separate"/>
            </w:r>
            <w:r>
              <w:rPr>
                <w:noProof/>
                <w:webHidden/>
              </w:rPr>
              <w:t>29</w:t>
            </w:r>
            <w:r>
              <w:rPr>
                <w:noProof/>
                <w:webHidden/>
              </w:rPr>
              <w:fldChar w:fldCharType="end"/>
            </w:r>
          </w:hyperlink>
        </w:p>
        <w:p w14:paraId="11EB3917" w14:textId="193EB597"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33" w:history="1">
            <w:r w:rsidRPr="002F5D2B">
              <w:rPr>
                <w:rStyle w:val="Hyperkobling"/>
                <w:rFonts w:eastAsiaTheme="majorEastAsia"/>
                <w:noProof/>
              </w:rPr>
              <w:t>6.3</w:t>
            </w:r>
            <w:r>
              <w:rPr>
                <w:rFonts w:asciiTheme="minorHAnsi" w:eastAsiaTheme="minorEastAsia" w:hAnsiTheme="minorHAnsi" w:cstheme="minorBidi"/>
                <w:noProof/>
                <w:sz w:val="22"/>
                <w:szCs w:val="22"/>
              </w:rPr>
              <w:tab/>
            </w:r>
            <w:r w:rsidRPr="002F5D2B">
              <w:rPr>
                <w:rStyle w:val="Hyperkobling"/>
                <w:rFonts w:eastAsiaTheme="majorEastAsia"/>
                <w:noProof/>
              </w:rPr>
              <w:t>Hovedregel og unntak</w:t>
            </w:r>
            <w:r>
              <w:rPr>
                <w:noProof/>
                <w:webHidden/>
              </w:rPr>
              <w:tab/>
            </w:r>
            <w:r>
              <w:rPr>
                <w:noProof/>
                <w:webHidden/>
              </w:rPr>
              <w:fldChar w:fldCharType="begin"/>
            </w:r>
            <w:r>
              <w:rPr>
                <w:noProof/>
                <w:webHidden/>
              </w:rPr>
              <w:instrText xml:space="preserve"> PAGEREF _Toc516731433 \h </w:instrText>
            </w:r>
            <w:r>
              <w:rPr>
                <w:noProof/>
                <w:webHidden/>
              </w:rPr>
            </w:r>
            <w:r>
              <w:rPr>
                <w:noProof/>
                <w:webHidden/>
              </w:rPr>
              <w:fldChar w:fldCharType="separate"/>
            </w:r>
            <w:r>
              <w:rPr>
                <w:noProof/>
                <w:webHidden/>
              </w:rPr>
              <w:t>29</w:t>
            </w:r>
            <w:r>
              <w:rPr>
                <w:noProof/>
                <w:webHidden/>
              </w:rPr>
              <w:fldChar w:fldCharType="end"/>
            </w:r>
          </w:hyperlink>
        </w:p>
        <w:p w14:paraId="07F9EA45" w14:textId="71DE0C7F"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34" w:history="1">
            <w:r w:rsidRPr="002F5D2B">
              <w:rPr>
                <w:rStyle w:val="Hyperkobling"/>
                <w:rFonts w:eastAsiaTheme="majorEastAsia"/>
                <w:noProof/>
              </w:rPr>
              <w:t>6.4</w:t>
            </w:r>
            <w:r>
              <w:rPr>
                <w:rFonts w:asciiTheme="minorHAnsi" w:eastAsiaTheme="minorEastAsia" w:hAnsiTheme="minorHAnsi" w:cstheme="minorBidi"/>
                <w:noProof/>
                <w:sz w:val="22"/>
                <w:szCs w:val="22"/>
              </w:rPr>
              <w:tab/>
            </w:r>
            <w:r w:rsidRPr="002F5D2B">
              <w:rPr>
                <w:rStyle w:val="Hyperkobling"/>
                <w:rFonts w:eastAsiaTheme="majorEastAsia"/>
                <w:noProof/>
              </w:rPr>
              <w:t>Dokumentasjon av kostnader</w:t>
            </w:r>
            <w:r>
              <w:rPr>
                <w:noProof/>
                <w:webHidden/>
              </w:rPr>
              <w:tab/>
            </w:r>
            <w:r>
              <w:rPr>
                <w:noProof/>
                <w:webHidden/>
              </w:rPr>
              <w:fldChar w:fldCharType="begin"/>
            </w:r>
            <w:r>
              <w:rPr>
                <w:noProof/>
                <w:webHidden/>
              </w:rPr>
              <w:instrText xml:space="preserve"> PAGEREF _Toc516731434 \h </w:instrText>
            </w:r>
            <w:r>
              <w:rPr>
                <w:noProof/>
                <w:webHidden/>
              </w:rPr>
            </w:r>
            <w:r>
              <w:rPr>
                <w:noProof/>
                <w:webHidden/>
              </w:rPr>
              <w:fldChar w:fldCharType="separate"/>
            </w:r>
            <w:r>
              <w:rPr>
                <w:noProof/>
                <w:webHidden/>
              </w:rPr>
              <w:t>31</w:t>
            </w:r>
            <w:r>
              <w:rPr>
                <w:noProof/>
                <w:webHidden/>
              </w:rPr>
              <w:fldChar w:fldCharType="end"/>
            </w:r>
          </w:hyperlink>
        </w:p>
        <w:p w14:paraId="199D146A" w14:textId="5755BC94"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35" w:history="1">
            <w:r w:rsidRPr="002F5D2B">
              <w:rPr>
                <w:rStyle w:val="Hyperkobling"/>
                <w:rFonts w:eastAsiaTheme="majorEastAsia"/>
                <w:noProof/>
              </w:rPr>
              <w:t>6.5</w:t>
            </w:r>
            <w:r>
              <w:rPr>
                <w:rFonts w:asciiTheme="minorHAnsi" w:eastAsiaTheme="minorEastAsia" w:hAnsiTheme="minorHAnsi" w:cstheme="minorBidi"/>
                <w:noProof/>
                <w:sz w:val="22"/>
                <w:szCs w:val="22"/>
              </w:rPr>
              <w:tab/>
            </w:r>
            <w:r w:rsidRPr="002F5D2B">
              <w:rPr>
                <w:rStyle w:val="Hyperkobling"/>
                <w:rFonts w:eastAsiaTheme="majorEastAsia"/>
                <w:noProof/>
              </w:rPr>
              <w:t>Hva ligger innenfor unntak b?</w:t>
            </w:r>
            <w:r>
              <w:rPr>
                <w:noProof/>
                <w:webHidden/>
              </w:rPr>
              <w:tab/>
            </w:r>
            <w:r>
              <w:rPr>
                <w:noProof/>
                <w:webHidden/>
              </w:rPr>
              <w:fldChar w:fldCharType="begin"/>
            </w:r>
            <w:r>
              <w:rPr>
                <w:noProof/>
                <w:webHidden/>
              </w:rPr>
              <w:instrText xml:space="preserve"> PAGEREF _Toc516731435 \h </w:instrText>
            </w:r>
            <w:r>
              <w:rPr>
                <w:noProof/>
                <w:webHidden/>
              </w:rPr>
            </w:r>
            <w:r>
              <w:rPr>
                <w:noProof/>
                <w:webHidden/>
              </w:rPr>
              <w:fldChar w:fldCharType="separate"/>
            </w:r>
            <w:r>
              <w:rPr>
                <w:noProof/>
                <w:webHidden/>
              </w:rPr>
              <w:t>31</w:t>
            </w:r>
            <w:r>
              <w:rPr>
                <w:noProof/>
                <w:webHidden/>
              </w:rPr>
              <w:fldChar w:fldCharType="end"/>
            </w:r>
          </w:hyperlink>
        </w:p>
        <w:p w14:paraId="3A24D497" w14:textId="5E0343E0" w:rsidR="00B76AD7" w:rsidRDefault="00B76AD7">
          <w:pPr>
            <w:pStyle w:val="INNH2"/>
            <w:tabs>
              <w:tab w:val="left" w:pos="660"/>
            </w:tabs>
            <w:rPr>
              <w:rFonts w:asciiTheme="minorHAnsi" w:eastAsiaTheme="minorEastAsia" w:hAnsiTheme="minorHAnsi" w:cstheme="minorBidi"/>
              <w:noProof/>
              <w:sz w:val="22"/>
              <w:szCs w:val="22"/>
            </w:rPr>
          </w:pPr>
          <w:hyperlink w:anchor="_Toc516731436" w:history="1">
            <w:r w:rsidRPr="002F5D2B">
              <w:rPr>
                <w:rStyle w:val="Hyperkobling"/>
                <w:rFonts w:eastAsiaTheme="majorEastAsia"/>
                <w:noProof/>
              </w:rPr>
              <w:t>7</w:t>
            </w:r>
            <w:r>
              <w:rPr>
                <w:rFonts w:asciiTheme="minorHAnsi" w:eastAsiaTheme="minorEastAsia" w:hAnsiTheme="minorHAnsi" w:cstheme="minorBidi"/>
                <w:noProof/>
                <w:sz w:val="22"/>
                <w:szCs w:val="22"/>
              </w:rPr>
              <w:tab/>
            </w:r>
            <w:r w:rsidRPr="002F5D2B">
              <w:rPr>
                <w:rStyle w:val="Hyperkobling"/>
                <w:rFonts w:eastAsiaTheme="majorEastAsia"/>
                <w:noProof/>
              </w:rPr>
              <w:t>Veiledende retningslinjer for finansiering av EVU</w:t>
            </w:r>
            <w:r>
              <w:rPr>
                <w:noProof/>
                <w:webHidden/>
              </w:rPr>
              <w:tab/>
            </w:r>
            <w:r>
              <w:rPr>
                <w:noProof/>
                <w:webHidden/>
              </w:rPr>
              <w:fldChar w:fldCharType="begin"/>
            </w:r>
            <w:r>
              <w:rPr>
                <w:noProof/>
                <w:webHidden/>
              </w:rPr>
              <w:instrText xml:space="preserve"> PAGEREF _Toc516731436 \h </w:instrText>
            </w:r>
            <w:r>
              <w:rPr>
                <w:noProof/>
                <w:webHidden/>
              </w:rPr>
            </w:r>
            <w:r>
              <w:rPr>
                <w:noProof/>
                <w:webHidden/>
              </w:rPr>
              <w:fldChar w:fldCharType="separate"/>
            </w:r>
            <w:r>
              <w:rPr>
                <w:noProof/>
                <w:webHidden/>
              </w:rPr>
              <w:t>33</w:t>
            </w:r>
            <w:r>
              <w:rPr>
                <w:noProof/>
                <w:webHidden/>
              </w:rPr>
              <w:fldChar w:fldCharType="end"/>
            </w:r>
          </w:hyperlink>
        </w:p>
        <w:p w14:paraId="31FC7388" w14:textId="587D88F1" w:rsidR="00B76AD7" w:rsidRDefault="00B76AD7">
          <w:pPr>
            <w:pStyle w:val="INNH2"/>
            <w:tabs>
              <w:tab w:val="left" w:pos="660"/>
            </w:tabs>
            <w:rPr>
              <w:rFonts w:asciiTheme="minorHAnsi" w:eastAsiaTheme="minorEastAsia" w:hAnsiTheme="minorHAnsi" w:cstheme="minorBidi"/>
              <w:noProof/>
              <w:sz w:val="22"/>
              <w:szCs w:val="22"/>
            </w:rPr>
          </w:pPr>
          <w:hyperlink w:anchor="_Toc516731437" w:history="1">
            <w:r w:rsidRPr="002F5D2B">
              <w:rPr>
                <w:rStyle w:val="Hyperkobling"/>
                <w:rFonts w:eastAsiaTheme="majorEastAsia"/>
                <w:noProof/>
              </w:rPr>
              <w:t>8</w:t>
            </w:r>
            <w:r>
              <w:rPr>
                <w:rFonts w:asciiTheme="minorHAnsi" w:eastAsiaTheme="minorEastAsia" w:hAnsiTheme="minorHAnsi" w:cstheme="minorBidi"/>
                <w:noProof/>
                <w:sz w:val="22"/>
                <w:szCs w:val="22"/>
              </w:rPr>
              <w:tab/>
            </w:r>
            <w:r w:rsidRPr="002F5D2B">
              <w:rPr>
                <w:rStyle w:val="Hyperkobling"/>
                <w:rFonts w:eastAsiaTheme="majorEastAsia"/>
                <w:noProof/>
              </w:rPr>
              <w:t>Anbefalinger for videre arbeid</w:t>
            </w:r>
            <w:r>
              <w:rPr>
                <w:noProof/>
                <w:webHidden/>
              </w:rPr>
              <w:tab/>
            </w:r>
            <w:r>
              <w:rPr>
                <w:noProof/>
                <w:webHidden/>
              </w:rPr>
              <w:fldChar w:fldCharType="begin"/>
            </w:r>
            <w:r>
              <w:rPr>
                <w:noProof/>
                <w:webHidden/>
              </w:rPr>
              <w:instrText xml:space="preserve"> PAGEREF _Toc516731437 \h </w:instrText>
            </w:r>
            <w:r>
              <w:rPr>
                <w:noProof/>
                <w:webHidden/>
              </w:rPr>
            </w:r>
            <w:r>
              <w:rPr>
                <w:noProof/>
                <w:webHidden/>
              </w:rPr>
              <w:fldChar w:fldCharType="separate"/>
            </w:r>
            <w:r>
              <w:rPr>
                <w:noProof/>
                <w:webHidden/>
              </w:rPr>
              <w:t>34</w:t>
            </w:r>
            <w:r>
              <w:rPr>
                <w:noProof/>
                <w:webHidden/>
              </w:rPr>
              <w:fldChar w:fldCharType="end"/>
            </w:r>
          </w:hyperlink>
        </w:p>
        <w:p w14:paraId="3CE8F79B" w14:textId="4C585BE0"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38" w:history="1">
            <w:r w:rsidRPr="002F5D2B">
              <w:rPr>
                <w:rStyle w:val="Hyperkobling"/>
                <w:rFonts w:eastAsiaTheme="majorEastAsia"/>
                <w:noProof/>
              </w:rPr>
              <w:t>8.1</w:t>
            </w:r>
            <w:r>
              <w:rPr>
                <w:rFonts w:asciiTheme="minorHAnsi" w:eastAsiaTheme="minorEastAsia" w:hAnsiTheme="minorHAnsi" w:cstheme="minorBidi"/>
                <w:noProof/>
                <w:sz w:val="22"/>
                <w:szCs w:val="22"/>
              </w:rPr>
              <w:tab/>
            </w:r>
            <w:r w:rsidRPr="002F5D2B">
              <w:rPr>
                <w:rStyle w:val="Hyperkobling"/>
                <w:rFonts w:eastAsiaTheme="majorEastAsia"/>
                <w:noProof/>
              </w:rPr>
              <w:t>Hva bør institusjonene gjøre som følge av dette arbeidet?</w:t>
            </w:r>
            <w:r>
              <w:rPr>
                <w:noProof/>
                <w:webHidden/>
              </w:rPr>
              <w:tab/>
            </w:r>
            <w:r>
              <w:rPr>
                <w:noProof/>
                <w:webHidden/>
              </w:rPr>
              <w:fldChar w:fldCharType="begin"/>
            </w:r>
            <w:r>
              <w:rPr>
                <w:noProof/>
                <w:webHidden/>
              </w:rPr>
              <w:instrText xml:space="preserve"> PAGEREF _Toc516731438 \h </w:instrText>
            </w:r>
            <w:r>
              <w:rPr>
                <w:noProof/>
                <w:webHidden/>
              </w:rPr>
            </w:r>
            <w:r>
              <w:rPr>
                <w:noProof/>
                <w:webHidden/>
              </w:rPr>
              <w:fldChar w:fldCharType="separate"/>
            </w:r>
            <w:r>
              <w:rPr>
                <w:noProof/>
                <w:webHidden/>
              </w:rPr>
              <w:t>34</w:t>
            </w:r>
            <w:r>
              <w:rPr>
                <w:noProof/>
                <w:webHidden/>
              </w:rPr>
              <w:fldChar w:fldCharType="end"/>
            </w:r>
          </w:hyperlink>
        </w:p>
        <w:p w14:paraId="506FCEEC" w14:textId="6583EA5F" w:rsidR="00B76AD7" w:rsidRDefault="00B76AD7">
          <w:pPr>
            <w:pStyle w:val="INNH3"/>
            <w:tabs>
              <w:tab w:val="left" w:pos="1100"/>
              <w:tab w:val="right" w:leader="dot" w:pos="9062"/>
            </w:tabs>
            <w:rPr>
              <w:rFonts w:asciiTheme="minorHAnsi" w:eastAsiaTheme="minorEastAsia" w:hAnsiTheme="minorHAnsi" w:cstheme="minorBidi"/>
              <w:noProof/>
              <w:sz w:val="22"/>
              <w:szCs w:val="22"/>
            </w:rPr>
          </w:pPr>
          <w:hyperlink w:anchor="_Toc516731439" w:history="1">
            <w:r w:rsidRPr="002F5D2B">
              <w:rPr>
                <w:rStyle w:val="Hyperkobling"/>
                <w:rFonts w:eastAsiaTheme="majorEastAsia"/>
                <w:noProof/>
              </w:rPr>
              <w:t>8.2</w:t>
            </w:r>
            <w:r>
              <w:rPr>
                <w:rFonts w:asciiTheme="minorHAnsi" w:eastAsiaTheme="minorEastAsia" w:hAnsiTheme="minorHAnsi" w:cstheme="minorBidi"/>
                <w:noProof/>
                <w:sz w:val="22"/>
                <w:szCs w:val="22"/>
              </w:rPr>
              <w:tab/>
            </w:r>
            <w:r w:rsidRPr="002F5D2B">
              <w:rPr>
                <w:rStyle w:val="Hyperkobling"/>
                <w:rFonts w:eastAsiaTheme="majorEastAsia"/>
                <w:noProof/>
              </w:rPr>
              <w:t>Innspill til arbeidet med å utforme en strategi for livslang læring</w:t>
            </w:r>
            <w:r>
              <w:rPr>
                <w:noProof/>
                <w:webHidden/>
              </w:rPr>
              <w:tab/>
            </w:r>
            <w:r>
              <w:rPr>
                <w:noProof/>
                <w:webHidden/>
              </w:rPr>
              <w:fldChar w:fldCharType="begin"/>
            </w:r>
            <w:r>
              <w:rPr>
                <w:noProof/>
                <w:webHidden/>
              </w:rPr>
              <w:instrText xml:space="preserve"> PAGEREF _Toc516731439 \h </w:instrText>
            </w:r>
            <w:r>
              <w:rPr>
                <w:noProof/>
                <w:webHidden/>
              </w:rPr>
            </w:r>
            <w:r>
              <w:rPr>
                <w:noProof/>
                <w:webHidden/>
              </w:rPr>
              <w:fldChar w:fldCharType="separate"/>
            </w:r>
            <w:r>
              <w:rPr>
                <w:noProof/>
                <w:webHidden/>
              </w:rPr>
              <w:t>34</w:t>
            </w:r>
            <w:r>
              <w:rPr>
                <w:noProof/>
                <w:webHidden/>
              </w:rPr>
              <w:fldChar w:fldCharType="end"/>
            </w:r>
          </w:hyperlink>
        </w:p>
        <w:p w14:paraId="6C6216DD" w14:textId="45E4A838" w:rsidR="00B76AD7" w:rsidRDefault="00B76AD7">
          <w:pPr>
            <w:pStyle w:val="INNH2"/>
            <w:rPr>
              <w:rFonts w:asciiTheme="minorHAnsi" w:eastAsiaTheme="minorEastAsia" w:hAnsiTheme="minorHAnsi" w:cstheme="minorBidi"/>
              <w:noProof/>
              <w:sz w:val="22"/>
              <w:szCs w:val="22"/>
            </w:rPr>
          </w:pPr>
          <w:hyperlink w:anchor="_Toc516731440" w:history="1">
            <w:r w:rsidRPr="002F5D2B">
              <w:rPr>
                <w:rStyle w:val="Hyperkobling"/>
                <w:rFonts w:eastAsiaTheme="majorEastAsia"/>
                <w:noProof/>
              </w:rPr>
              <w:t>Vedlegg 1: Egenfinansieringsprosent - case</w:t>
            </w:r>
            <w:r>
              <w:rPr>
                <w:noProof/>
                <w:webHidden/>
              </w:rPr>
              <w:tab/>
            </w:r>
            <w:r>
              <w:rPr>
                <w:noProof/>
                <w:webHidden/>
              </w:rPr>
              <w:fldChar w:fldCharType="begin"/>
            </w:r>
            <w:r>
              <w:rPr>
                <w:noProof/>
                <w:webHidden/>
              </w:rPr>
              <w:instrText xml:space="preserve"> PAGEREF _Toc516731440 \h </w:instrText>
            </w:r>
            <w:r>
              <w:rPr>
                <w:noProof/>
                <w:webHidden/>
              </w:rPr>
            </w:r>
            <w:r>
              <w:rPr>
                <w:noProof/>
                <w:webHidden/>
              </w:rPr>
              <w:fldChar w:fldCharType="separate"/>
            </w:r>
            <w:r>
              <w:rPr>
                <w:noProof/>
                <w:webHidden/>
              </w:rPr>
              <w:t>35</w:t>
            </w:r>
            <w:r>
              <w:rPr>
                <w:noProof/>
                <w:webHidden/>
              </w:rPr>
              <w:fldChar w:fldCharType="end"/>
            </w:r>
          </w:hyperlink>
        </w:p>
        <w:p w14:paraId="0A14020B" w14:textId="6403B9A7" w:rsidR="00B76AD7" w:rsidRDefault="00B76AD7">
          <w:pPr>
            <w:pStyle w:val="INNH2"/>
            <w:rPr>
              <w:rFonts w:asciiTheme="minorHAnsi" w:eastAsiaTheme="minorEastAsia" w:hAnsiTheme="minorHAnsi" w:cstheme="minorBidi"/>
              <w:noProof/>
              <w:sz w:val="22"/>
              <w:szCs w:val="22"/>
            </w:rPr>
          </w:pPr>
          <w:hyperlink w:anchor="_Toc516731441" w:history="1">
            <w:r w:rsidRPr="002F5D2B">
              <w:rPr>
                <w:rStyle w:val="Hyperkobling"/>
                <w:rFonts w:eastAsiaTheme="majorEastAsia"/>
                <w:noProof/>
              </w:rPr>
              <w:t>Ordliste</w:t>
            </w:r>
            <w:r>
              <w:rPr>
                <w:noProof/>
                <w:webHidden/>
              </w:rPr>
              <w:tab/>
            </w:r>
            <w:r>
              <w:rPr>
                <w:noProof/>
                <w:webHidden/>
              </w:rPr>
              <w:fldChar w:fldCharType="begin"/>
            </w:r>
            <w:r>
              <w:rPr>
                <w:noProof/>
                <w:webHidden/>
              </w:rPr>
              <w:instrText xml:space="preserve"> PAGEREF _Toc516731441 \h </w:instrText>
            </w:r>
            <w:r>
              <w:rPr>
                <w:noProof/>
                <w:webHidden/>
              </w:rPr>
            </w:r>
            <w:r>
              <w:rPr>
                <w:noProof/>
                <w:webHidden/>
              </w:rPr>
              <w:fldChar w:fldCharType="separate"/>
            </w:r>
            <w:r>
              <w:rPr>
                <w:noProof/>
                <w:webHidden/>
              </w:rPr>
              <w:t>38</w:t>
            </w:r>
            <w:r>
              <w:rPr>
                <w:noProof/>
                <w:webHidden/>
              </w:rPr>
              <w:fldChar w:fldCharType="end"/>
            </w:r>
          </w:hyperlink>
        </w:p>
        <w:p w14:paraId="02860484" w14:textId="4F81FEFA" w:rsidR="00087E50" w:rsidRDefault="00087E50">
          <w:r>
            <w:rPr>
              <w:b/>
              <w:bCs/>
            </w:rPr>
            <w:fldChar w:fldCharType="end"/>
          </w:r>
        </w:p>
      </w:sdtContent>
    </w:sdt>
    <w:p w14:paraId="6A67EA7B" w14:textId="77777777" w:rsidR="00C11AD8" w:rsidRPr="00087E50" w:rsidRDefault="00C11AD8" w:rsidP="00C11AD8">
      <w:pPr>
        <w:spacing w:after="0" w:afterAutospacing="0"/>
        <w:rPr>
          <w:vanish/>
          <w:specVanish/>
        </w:rPr>
      </w:pPr>
    </w:p>
    <w:p w14:paraId="2F9B692C" w14:textId="77777777" w:rsidR="00087E50" w:rsidRDefault="00087E50" w:rsidP="00087E50">
      <w:r>
        <w:t xml:space="preserve"> </w:t>
      </w:r>
    </w:p>
    <w:p w14:paraId="781E8A75" w14:textId="77777777" w:rsidR="00C42012" w:rsidRDefault="00087E50" w:rsidP="002A2082">
      <w:pPr>
        <w:pStyle w:val="Overskrift2"/>
      </w:pPr>
      <w:r>
        <w:br w:type="page"/>
      </w:r>
      <w:bookmarkStart w:id="0" w:name="_Toc516731413"/>
      <w:r w:rsidR="28257F58">
        <w:lastRenderedPageBreak/>
        <w:t>Sammendrag</w:t>
      </w:r>
      <w:bookmarkEnd w:id="0"/>
    </w:p>
    <w:p w14:paraId="7AFC4DDD" w14:textId="7667A625" w:rsidR="00287CFE" w:rsidRPr="00881966" w:rsidRDefault="00287CFE">
      <w:r w:rsidRPr="00D064CB">
        <w:rPr>
          <w:rFonts w:asciiTheme="minorHAnsi" w:eastAsiaTheme="minorEastAsia" w:hAnsiTheme="minorHAnsi" w:cstheme="minorBidi"/>
          <w:sz w:val="22"/>
          <w:szCs w:val="22"/>
          <w:lang w:eastAsia="en-US"/>
        </w:rPr>
        <w:t xml:space="preserve">Denne rapporten oppsummerer arbeidet til en nasjonal arbeidsgruppe oppnevnt av UHR-Administrasjon, med mål om å skape en omforent forståelse for hvordan UH-sektoren bør forholde seg til statsstøtteregelverket, egenbetalingsforskriften, BOA-reglementet og Kunnskapsdepartementets finansieringssystem innenfor etter- og videreutdanning (EVU). Samtidig med denne rapporten sender UHR ut forslag til en totalkostnadsmodell for </w:t>
      </w:r>
      <w:r w:rsidRPr="004B2603">
        <w:rPr>
          <w:rFonts w:asciiTheme="minorHAnsi" w:eastAsiaTheme="minorEastAsia" w:hAnsiTheme="minorHAnsi" w:cstheme="minorBidi"/>
          <w:sz w:val="22"/>
          <w:szCs w:val="22"/>
          <w:lang w:eastAsia="en-US"/>
        </w:rPr>
        <w:t>EVU basert på TDI-metodikken.</w:t>
      </w:r>
    </w:p>
    <w:p w14:paraId="3C441AA3" w14:textId="39AA528A" w:rsidR="00287CFE" w:rsidRPr="00881966" w:rsidRDefault="28257F58">
      <w:r w:rsidRPr="46D54BE2">
        <w:rPr>
          <w:rFonts w:asciiTheme="minorHAnsi" w:eastAsiaTheme="minorEastAsia" w:hAnsiTheme="minorHAnsi" w:cstheme="minorBidi"/>
          <w:b/>
          <w:bCs/>
          <w:i/>
          <w:iCs/>
          <w:sz w:val="22"/>
          <w:szCs w:val="22"/>
        </w:rPr>
        <w:t>Gratisprinsippet</w:t>
      </w:r>
      <w:r w:rsidRPr="46D54BE2">
        <w:rPr>
          <w:rFonts w:asciiTheme="minorHAnsi" w:eastAsiaTheme="minorEastAsia" w:hAnsiTheme="minorHAnsi" w:cstheme="minorBidi"/>
          <w:sz w:val="22"/>
          <w:szCs w:val="22"/>
        </w:rPr>
        <w:t xml:space="preserve"> i norsk utdanning er lovfestet i universitets- og høyskoleloven § 7-1</w:t>
      </w:r>
      <w:r w:rsidRPr="46D54BE2">
        <w:rPr>
          <w:rFonts w:asciiTheme="minorHAnsi" w:eastAsiaTheme="minorEastAsia" w:hAnsiTheme="minorHAnsi" w:cstheme="minorBidi"/>
          <w:i/>
          <w:iCs/>
          <w:sz w:val="22"/>
          <w:szCs w:val="22"/>
        </w:rPr>
        <w:t xml:space="preserve">. </w:t>
      </w:r>
      <w:r w:rsidRPr="46D54BE2">
        <w:rPr>
          <w:rFonts w:asciiTheme="minorHAnsi" w:eastAsiaTheme="minorEastAsia" w:hAnsiTheme="minorHAnsi" w:cstheme="minorBidi"/>
          <w:sz w:val="22"/>
          <w:szCs w:val="22"/>
        </w:rPr>
        <w:t>Som h</w:t>
      </w:r>
      <w:r w:rsidRPr="46D54BE2">
        <w:rPr>
          <w:rFonts w:asciiTheme="minorHAnsi" w:eastAsiaTheme="minorEastAsia" w:hAnsiTheme="minorHAnsi" w:cstheme="minorBidi"/>
          <w:color w:val="000000" w:themeColor="text1"/>
          <w:sz w:val="22"/>
          <w:szCs w:val="22"/>
        </w:rPr>
        <w:t xml:space="preserve">ovedregel skal </w:t>
      </w:r>
      <w:r w:rsidRPr="46D54BE2">
        <w:rPr>
          <w:rFonts w:asciiTheme="minorHAnsi" w:eastAsiaTheme="minorEastAsia" w:hAnsiTheme="minorHAnsi" w:cstheme="minorBidi"/>
          <w:i/>
          <w:iCs/>
          <w:color w:val="000000" w:themeColor="text1"/>
          <w:sz w:val="22"/>
          <w:szCs w:val="22"/>
        </w:rPr>
        <w:t>studieprogrammer som fører frem til en grad eller yrkesutdanning,</w:t>
      </w:r>
      <w:r w:rsidRPr="46D54BE2">
        <w:rPr>
          <w:rFonts w:asciiTheme="minorHAnsi" w:eastAsiaTheme="minorEastAsia" w:hAnsiTheme="minorHAnsi" w:cstheme="minorBidi"/>
          <w:color w:val="000000" w:themeColor="text1"/>
          <w:sz w:val="22"/>
          <w:szCs w:val="22"/>
        </w:rPr>
        <w:t xml:space="preserve"> være </w:t>
      </w:r>
      <w:r w:rsidRPr="46D54BE2">
        <w:rPr>
          <w:rFonts w:asciiTheme="minorHAnsi" w:eastAsiaTheme="minorEastAsia" w:hAnsiTheme="minorHAnsi" w:cstheme="minorBidi"/>
          <w:i/>
          <w:iCs/>
          <w:color w:val="000000" w:themeColor="text1"/>
          <w:sz w:val="22"/>
          <w:szCs w:val="22"/>
          <w:u w:val="single"/>
        </w:rPr>
        <w:t>gratis</w:t>
      </w:r>
      <w:r w:rsidRPr="46D54BE2">
        <w:rPr>
          <w:rFonts w:asciiTheme="minorHAnsi" w:eastAsiaTheme="minorEastAsia" w:hAnsiTheme="minorHAnsi" w:cstheme="minorBidi"/>
          <w:color w:val="000000" w:themeColor="text1"/>
          <w:sz w:val="22"/>
          <w:szCs w:val="22"/>
        </w:rPr>
        <w:t xml:space="preserve">. Fire </w:t>
      </w:r>
      <w:r w:rsidRPr="000408E6">
        <w:rPr>
          <w:rFonts w:asciiTheme="minorHAnsi" w:eastAsiaTheme="minorEastAsia" w:hAnsiTheme="minorHAnsi" w:cstheme="minorBidi"/>
          <w:i/>
          <w:color w:val="000000" w:themeColor="text1"/>
          <w:sz w:val="22"/>
          <w:szCs w:val="22"/>
        </w:rPr>
        <w:t>unntak</w:t>
      </w:r>
      <w:r w:rsidRPr="46D54BE2">
        <w:rPr>
          <w:rFonts w:asciiTheme="minorHAnsi" w:eastAsiaTheme="minorEastAsia" w:hAnsiTheme="minorHAnsi" w:cstheme="minorBidi"/>
          <w:color w:val="000000" w:themeColor="text1"/>
          <w:sz w:val="22"/>
          <w:szCs w:val="22"/>
        </w:rPr>
        <w:t xml:space="preserve"> fra hovedregelen</w:t>
      </w:r>
      <w:r w:rsidRPr="46D54BE2">
        <w:rPr>
          <w:rFonts w:asciiTheme="minorHAnsi" w:eastAsiaTheme="minorEastAsia" w:hAnsiTheme="minorHAnsi" w:cstheme="minorBidi"/>
          <w:b/>
          <w:bCs/>
          <w:color w:val="000000" w:themeColor="text1"/>
          <w:sz w:val="22"/>
          <w:szCs w:val="22"/>
        </w:rPr>
        <w:t xml:space="preserve"> </w:t>
      </w:r>
      <w:r w:rsidRPr="46D54BE2">
        <w:rPr>
          <w:rFonts w:asciiTheme="minorHAnsi" w:eastAsiaTheme="minorEastAsia" w:hAnsiTheme="minorHAnsi" w:cstheme="minorBidi"/>
          <w:color w:val="000000" w:themeColor="text1"/>
          <w:sz w:val="22"/>
          <w:szCs w:val="22"/>
        </w:rPr>
        <w:t xml:space="preserve">er definert i forskrift om egenbetaling § 3-2 (1). Egenbetalingen kan dekke kostnadene </w:t>
      </w:r>
      <w:r w:rsidRPr="46D54BE2">
        <w:rPr>
          <w:rFonts w:asciiTheme="minorHAnsi" w:eastAsiaTheme="minorEastAsia" w:hAnsiTheme="minorHAnsi" w:cstheme="minorBidi"/>
          <w:i/>
          <w:iCs/>
          <w:color w:val="000000" w:themeColor="text1"/>
          <w:sz w:val="22"/>
          <w:szCs w:val="22"/>
        </w:rPr>
        <w:t>fullt ut</w:t>
      </w:r>
      <w:r w:rsidRPr="46D54BE2">
        <w:rPr>
          <w:rFonts w:asciiTheme="minorHAnsi" w:eastAsiaTheme="minorEastAsia" w:hAnsiTheme="minorHAnsi" w:cstheme="minorBidi"/>
          <w:color w:val="000000" w:themeColor="text1"/>
          <w:sz w:val="22"/>
          <w:szCs w:val="22"/>
        </w:rPr>
        <w:t xml:space="preserve">, eller </w:t>
      </w:r>
      <w:r w:rsidRPr="46D54BE2">
        <w:rPr>
          <w:rFonts w:asciiTheme="minorHAnsi" w:eastAsiaTheme="minorEastAsia" w:hAnsiTheme="minorHAnsi" w:cstheme="minorBidi"/>
          <w:i/>
          <w:iCs/>
          <w:color w:val="000000" w:themeColor="text1"/>
          <w:sz w:val="22"/>
          <w:szCs w:val="22"/>
        </w:rPr>
        <w:t>delvis</w:t>
      </w:r>
      <w:r w:rsidRPr="46D54BE2">
        <w:rPr>
          <w:rFonts w:asciiTheme="minorHAnsi" w:eastAsiaTheme="minorEastAsia" w:hAnsiTheme="minorHAnsi" w:cstheme="minorBidi"/>
          <w:color w:val="000000" w:themeColor="text1"/>
          <w:sz w:val="22"/>
          <w:szCs w:val="22"/>
        </w:rPr>
        <w:t xml:space="preserve"> ved at institusjonen finansierer deler av kostnadene § 3-2 (2). Både forståelsen av innholdet i unntakene og </w:t>
      </w:r>
      <w:r w:rsidRPr="46D54BE2">
        <w:rPr>
          <w:rFonts w:asciiTheme="minorHAnsi" w:eastAsiaTheme="minorEastAsia" w:hAnsiTheme="minorHAnsi" w:cstheme="minorBidi"/>
          <w:sz w:val="22"/>
          <w:szCs w:val="22"/>
          <w:lang w:eastAsia="en-US"/>
        </w:rPr>
        <w:t>tilbudet av fag/emner og kurs der det tas egenbetaling</w:t>
      </w:r>
      <w:r w:rsidR="008E3CAD">
        <w:rPr>
          <w:rFonts w:asciiTheme="minorHAnsi" w:eastAsiaTheme="minorEastAsia" w:hAnsiTheme="minorHAnsi" w:cstheme="minorBidi"/>
          <w:sz w:val="22"/>
          <w:szCs w:val="22"/>
          <w:lang w:eastAsia="en-US"/>
        </w:rPr>
        <w:t>,</w:t>
      </w:r>
      <w:r w:rsidRPr="46D54BE2">
        <w:rPr>
          <w:rFonts w:asciiTheme="minorHAnsi" w:eastAsiaTheme="minorEastAsia" w:hAnsiTheme="minorHAnsi" w:cstheme="minorBidi"/>
          <w:sz w:val="22"/>
          <w:szCs w:val="22"/>
          <w:lang w:eastAsia="en-US"/>
        </w:rPr>
        <w:t xml:space="preserve"> varierer mye i sektoren. I tillegg varierer graden av egenbetaling. </w:t>
      </w:r>
      <w:r w:rsidRPr="46D54BE2">
        <w:rPr>
          <w:rFonts w:asciiTheme="minorHAnsi" w:eastAsiaTheme="minorEastAsia" w:hAnsiTheme="minorHAnsi" w:cstheme="minorBidi"/>
          <w:sz w:val="22"/>
          <w:szCs w:val="22"/>
        </w:rPr>
        <w:t>Noen institusjoner har valgt</w:t>
      </w:r>
      <w:r w:rsidR="0007480E">
        <w:rPr>
          <w:rFonts w:asciiTheme="minorHAnsi" w:eastAsiaTheme="minorEastAsia" w:hAnsiTheme="minorHAnsi" w:cstheme="minorBidi"/>
          <w:sz w:val="22"/>
          <w:szCs w:val="22"/>
        </w:rPr>
        <w:t xml:space="preserve"> enten</w:t>
      </w:r>
      <w:r w:rsidRPr="46D54BE2">
        <w:rPr>
          <w:rFonts w:asciiTheme="minorHAnsi" w:eastAsiaTheme="minorEastAsia" w:hAnsiTheme="minorHAnsi" w:cstheme="minorBidi"/>
          <w:sz w:val="22"/>
          <w:szCs w:val="22"/>
        </w:rPr>
        <w:t xml:space="preserve"> 0 </w:t>
      </w:r>
      <w:r w:rsidR="0007480E">
        <w:rPr>
          <w:rFonts w:asciiTheme="minorHAnsi" w:eastAsiaTheme="minorEastAsia" w:hAnsiTheme="minorHAnsi" w:cstheme="minorBidi"/>
          <w:sz w:val="22"/>
          <w:szCs w:val="22"/>
        </w:rPr>
        <w:t>eller</w:t>
      </w:r>
      <w:r w:rsidRPr="46D54BE2">
        <w:rPr>
          <w:rFonts w:asciiTheme="minorHAnsi" w:eastAsiaTheme="minorEastAsia" w:hAnsiTheme="minorHAnsi" w:cstheme="minorBidi"/>
          <w:sz w:val="22"/>
          <w:szCs w:val="22"/>
        </w:rPr>
        <w:t xml:space="preserve"> 100 % egenfinansiering, men andre benytter hele skalaen mellom 0 og 100 %.</w:t>
      </w:r>
      <w:bookmarkStart w:id="1" w:name="_Toc515625983"/>
      <w:bookmarkEnd w:id="1"/>
    </w:p>
    <w:p w14:paraId="1BBEA2BA" w14:textId="02AEA5F5" w:rsidR="00287CFE" w:rsidRPr="00881966" w:rsidRDefault="00287CFE">
      <w:r w:rsidRPr="00881966">
        <w:rPr>
          <w:rFonts w:asciiTheme="minorHAnsi" w:eastAsiaTheme="majorEastAsia" w:hAnsiTheme="minorHAnsi" w:cstheme="minorHAnsi"/>
          <w:color w:val="000000" w:themeColor="text1"/>
          <w:sz w:val="22"/>
          <w:szCs w:val="22"/>
        </w:rPr>
        <w:t xml:space="preserve">Egenbetalingsforskriften må leses i lys av både gratisprinsippet og statsstøtteregelverket (EØS). </w:t>
      </w:r>
      <w:r w:rsidR="0007480E">
        <w:rPr>
          <w:rFonts w:asciiTheme="minorHAnsi" w:eastAsiaTheme="majorEastAsia" w:hAnsiTheme="minorHAnsi" w:cstheme="minorHAnsi"/>
          <w:color w:val="000000" w:themeColor="text1"/>
          <w:sz w:val="22"/>
          <w:szCs w:val="22"/>
        </w:rPr>
        <w:t>U</w:t>
      </w:r>
      <w:r w:rsidRPr="00881966">
        <w:rPr>
          <w:rFonts w:asciiTheme="minorHAnsi" w:eastAsiaTheme="majorEastAsia" w:hAnsiTheme="minorHAnsi" w:cstheme="minorHAnsi"/>
          <w:color w:val="000000" w:themeColor="text1"/>
          <w:sz w:val="22"/>
          <w:szCs w:val="22"/>
        </w:rPr>
        <w:t>nntakene det kan kreves egenbetaling for</w:t>
      </w:r>
      <w:r w:rsidR="0007480E">
        <w:rPr>
          <w:rFonts w:asciiTheme="minorHAnsi" w:eastAsiaTheme="majorEastAsia" w:hAnsiTheme="minorHAnsi" w:cstheme="minorHAnsi"/>
          <w:color w:val="000000" w:themeColor="text1"/>
          <w:sz w:val="22"/>
          <w:szCs w:val="22"/>
        </w:rPr>
        <w:t xml:space="preserve"> avgrenses av gratisprinsippet og i</w:t>
      </w:r>
      <w:r w:rsidRPr="00881966">
        <w:rPr>
          <w:rFonts w:asciiTheme="minorHAnsi" w:eastAsiaTheme="majorEastAsia" w:hAnsiTheme="minorHAnsi" w:cstheme="minorHAnsi"/>
          <w:color w:val="000000" w:themeColor="text1"/>
          <w:sz w:val="22"/>
          <w:szCs w:val="22"/>
        </w:rPr>
        <w:t xml:space="preserve">nstitusjonene må selv vurdere om unntakene </w:t>
      </w:r>
      <w:r w:rsidR="007F7D87">
        <w:rPr>
          <w:rFonts w:asciiTheme="minorHAnsi" w:eastAsiaTheme="majorEastAsia" w:hAnsiTheme="minorHAnsi" w:cstheme="minorHAnsi"/>
          <w:color w:val="000000" w:themeColor="text1"/>
          <w:sz w:val="22"/>
          <w:szCs w:val="22"/>
        </w:rPr>
        <w:t xml:space="preserve">i egenbetalingsforskriften </w:t>
      </w:r>
      <w:r w:rsidR="007F7D87" w:rsidRPr="46D54BE2">
        <w:rPr>
          <w:rFonts w:asciiTheme="minorHAnsi" w:eastAsiaTheme="minorEastAsia" w:hAnsiTheme="minorHAnsi" w:cstheme="minorBidi"/>
          <w:color w:val="000000" w:themeColor="text1"/>
          <w:sz w:val="22"/>
          <w:szCs w:val="22"/>
        </w:rPr>
        <w:t>§ 3-2 (1)</w:t>
      </w:r>
      <w:r w:rsidR="007F7D87">
        <w:rPr>
          <w:rFonts w:asciiTheme="minorHAnsi" w:eastAsiaTheme="minorEastAsia" w:hAnsiTheme="minorHAnsi" w:cstheme="minorBidi"/>
          <w:color w:val="000000" w:themeColor="text1"/>
          <w:sz w:val="22"/>
          <w:szCs w:val="22"/>
        </w:rPr>
        <w:t xml:space="preserve"> </w:t>
      </w:r>
      <w:r w:rsidRPr="00881966">
        <w:rPr>
          <w:rFonts w:asciiTheme="minorHAnsi" w:eastAsiaTheme="majorEastAsia" w:hAnsiTheme="minorHAnsi" w:cstheme="minorHAnsi"/>
          <w:color w:val="000000" w:themeColor="text1"/>
          <w:sz w:val="22"/>
          <w:szCs w:val="22"/>
        </w:rPr>
        <w:t xml:space="preserve">er oppfylt. Statsstøtteregelverket regulerer grenser for </w:t>
      </w:r>
      <w:r w:rsidRPr="00ED21AB">
        <w:rPr>
          <w:rFonts w:asciiTheme="minorHAnsi" w:eastAsiaTheme="majorEastAsia" w:hAnsiTheme="minorHAnsi" w:cstheme="minorHAnsi"/>
          <w:i/>
          <w:color w:val="000000" w:themeColor="text1"/>
          <w:sz w:val="22"/>
          <w:szCs w:val="22"/>
        </w:rPr>
        <w:t>størrelsen på egenbetalingen</w:t>
      </w:r>
      <w:r w:rsidRPr="00881966">
        <w:rPr>
          <w:rFonts w:asciiTheme="minorHAnsi" w:eastAsiaTheme="majorEastAsia" w:hAnsiTheme="minorHAnsi" w:cstheme="minorHAnsi"/>
          <w:color w:val="000000" w:themeColor="text1"/>
          <w:sz w:val="22"/>
          <w:szCs w:val="22"/>
        </w:rPr>
        <w:t xml:space="preserve"> for fag/emner som er en integrert del av institusjonens ikke-økonomiske aktivitet. </w:t>
      </w:r>
    </w:p>
    <w:p w14:paraId="7B75864B" w14:textId="78E4822A" w:rsidR="00287CFE" w:rsidRDefault="00287CFE">
      <w:pPr>
        <w:rPr>
          <w:rFonts w:asciiTheme="minorHAnsi" w:eastAsiaTheme="minorEastAsia" w:hAnsiTheme="minorHAnsi" w:cstheme="minorBidi"/>
          <w:color w:val="000000" w:themeColor="text1"/>
          <w:sz w:val="22"/>
          <w:szCs w:val="22"/>
        </w:rPr>
      </w:pPr>
      <w:r w:rsidRPr="46D54BE2">
        <w:rPr>
          <w:rFonts w:asciiTheme="minorHAnsi" w:eastAsiaTheme="minorEastAsia" w:hAnsiTheme="minorHAnsi" w:cstheme="minorBidi"/>
          <w:color w:val="000000" w:themeColor="text1"/>
          <w:sz w:val="22"/>
          <w:szCs w:val="22"/>
        </w:rPr>
        <w:t xml:space="preserve">Utgangspunktet er at utdanningstilbud som er en </w:t>
      </w:r>
      <w:r w:rsidRPr="5663A662">
        <w:rPr>
          <w:rFonts w:asciiTheme="minorHAnsi" w:eastAsiaTheme="minorEastAsia" w:hAnsiTheme="minorHAnsi" w:cstheme="minorBidi"/>
          <w:i/>
          <w:iCs/>
          <w:color w:val="000000" w:themeColor="text1"/>
          <w:sz w:val="22"/>
          <w:szCs w:val="22"/>
        </w:rPr>
        <w:t xml:space="preserve">del av det offentlig overvåkede/kontrollerte og </w:t>
      </w:r>
      <w:r w:rsidRPr="00831884">
        <w:rPr>
          <w:rFonts w:asciiTheme="minorHAnsi" w:eastAsiaTheme="minorEastAsia" w:hAnsiTheme="minorHAnsi" w:cstheme="minorBidi"/>
          <w:i/>
          <w:iCs/>
          <w:color w:val="000000" w:themeColor="text1"/>
          <w:sz w:val="22"/>
          <w:szCs w:val="22"/>
        </w:rPr>
        <w:t>finansierte</w:t>
      </w:r>
      <w:r w:rsidRPr="00C50002">
        <w:rPr>
          <w:rFonts w:asciiTheme="minorHAnsi" w:eastAsiaTheme="minorEastAsia" w:hAnsiTheme="minorHAnsi" w:cstheme="minorBidi"/>
          <w:i/>
          <w:iCs/>
          <w:color w:val="000000" w:themeColor="text1"/>
          <w:sz w:val="22"/>
          <w:szCs w:val="22"/>
        </w:rPr>
        <w:t xml:space="preserve"> </w:t>
      </w:r>
      <w:r w:rsidRPr="5663A662">
        <w:rPr>
          <w:rFonts w:asciiTheme="minorHAnsi" w:eastAsiaTheme="minorEastAsia" w:hAnsiTheme="minorHAnsi" w:cstheme="minorBidi"/>
          <w:i/>
          <w:iCs/>
          <w:color w:val="000000" w:themeColor="text1"/>
          <w:sz w:val="22"/>
          <w:szCs w:val="22"/>
        </w:rPr>
        <w:t xml:space="preserve">utdanningssystemet, </w:t>
      </w:r>
      <w:r w:rsidRPr="46D54BE2">
        <w:rPr>
          <w:rFonts w:asciiTheme="minorHAnsi" w:eastAsiaTheme="minorEastAsia" w:hAnsiTheme="minorHAnsi" w:cstheme="minorBidi"/>
          <w:color w:val="000000" w:themeColor="text1"/>
          <w:sz w:val="22"/>
          <w:szCs w:val="22"/>
        </w:rPr>
        <w:t>er</w:t>
      </w:r>
      <w:r w:rsidRPr="5663A662">
        <w:rPr>
          <w:rFonts w:asciiTheme="minorHAnsi" w:eastAsiaTheme="minorEastAsia" w:hAnsiTheme="minorHAnsi" w:cstheme="minorBidi"/>
          <w:i/>
          <w:iCs/>
          <w:color w:val="000000" w:themeColor="text1"/>
          <w:sz w:val="22"/>
          <w:szCs w:val="22"/>
        </w:rPr>
        <w:t xml:space="preserve"> </w:t>
      </w:r>
      <w:r w:rsidRPr="5663A662">
        <w:rPr>
          <w:rFonts w:asciiTheme="minorHAnsi" w:eastAsiaTheme="minorEastAsia" w:hAnsiTheme="minorHAnsi" w:cstheme="minorBidi"/>
          <w:b/>
          <w:bCs/>
          <w:i/>
          <w:iCs/>
          <w:color w:val="000000" w:themeColor="text1"/>
          <w:sz w:val="22"/>
          <w:szCs w:val="22"/>
        </w:rPr>
        <w:t>ikke-økonomisk aktivitet</w:t>
      </w:r>
      <w:r w:rsidRPr="5663A662">
        <w:rPr>
          <w:rFonts w:asciiTheme="minorHAnsi" w:eastAsiaTheme="minorEastAsia" w:hAnsiTheme="minorHAnsi" w:cstheme="minorBidi"/>
          <w:i/>
          <w:iCs/>
          <w:color w:val="000000" w:themeColor="text1"/>
          <w:sz w:val="22"/>
          <w:szCs w:val="22"/>
        </w:rPr>
        <w:t xml:space="preserve">. </w:t>
      </w:r>
      <w:r w:rsidRPr="46D54BE2">
        <w:rPr>
          <w:rFonts w:asciiTheme="minorHAnsi" w:eastAsiaTheme="minorEastAsia" w:hAnsiTheme="minorHAnsi" w:cstheme="minorBidi"/>
          <w:color w:val="000000" w:themeColor="text1"/>
          <w:sz w:val="22"/>
          <w:szCs w:val="22"/>
        </w:rPr>
        <w:t xml:space="preserve">Innenfor det nasjonale utdanningssystemet har myndighetene stor frihet til å utforme systemet slik de ønsker. Dette gjelder selv om studentene betaler deler av kostnadene. Staten </w:t>
      </w:r>
      <w:r w:rsidRPr="00263A0A">
        <w:rPr>
          <w:rFonts w:asciiTheme="minorHAnsi" w:eastAsiaTheme="minorEastAsia" w:hAnsiTheme="minorHAnsi" w:cstheme="minorBidi"/>
          <w:i/>
          <w:color w:val="000000" w:themeColor="text1"/>
          <w:sz w:val="22"/>
          <w:szCs w:val="22"/>
        </w:rPr>
        <w:t>må</w:t>
      </w:r>
      <w:r w:rsidRPr="46D54BE2">
        <w:rPr>
          <w:rFonts w:asciiTheme="minorHAnsi" w:eastAsiaTheme="minorEastAsia" w:hAnsiTheme="minorHAnsi" w:cstheme="minorBidi"/>
          <w:color w:val="000000" w:themeColor="text1"/>
          <w:sz w:val="22"/>
          <w:szCs w:val="22"/>
        </w:rPr>
        <w:t xml:space="preserve"> imidlertid betale </w:t>
      </w:r>
      <w:r w:rsidRPr="5663A662">
        <w:rPr>
          <w:rFonts w:asciiTheme="minorHAnsi" w:eastAsiaTheme="minorEastAsia" w:hAnsiTheme="minorHAnsi" w:cstheme="minorBidi"/>
          <w:i/>
          <w:iCs/>
          <w:color w:val="000000" w:themeColor="text1"/>
          <w:sz w:val="22"/>
          <w:szCs w:val="22"/>
        </w:rPr>
        <w:t>hovedparten av kostnadene</w:t>
      </w:r>
      <w:r w:rsidR="00C50002">
        <w:rPr>
          <w:rFonts w:asciiTheme="minorHAnsi" w:eastAsiaTheme="minorEastAsia" w:hAnsiTheme="minorHAnsi" w:cstheme="minorBidi"/>
          <w:iCs/>
          <w:color w:val="000000" w:themeColor="text1"/>
          <w:sz w:val="22"/>
          <w:szCs w:val="22"/>
        </w:rPr>
        <w:t xml:space="preserve"> for at utdanningen skal anses som ikke-økonomisk aktivitet</w:t>
      </w:r>
      <w:r w:rsidRPr="46D54BE2">
        <w:rPr>
          <w:rFonts w:asciiTheme="minorHAnsi" w:eastAsiaTheme="minorEastAsia" w:hAnsiTheme="minorHAnsi" w:cstheme="minorBidi"/>
          <w:color w:val="000000" w:themeColor="text1"/>
          <w:sz w:val="22"/>
          <w:szCs w:val="22"/>
        </w:rPr>
        <w:t xml:space="preserve">. Etter dagens rettsforståelse, vil «hovedparten» kunne tolkes som minimum 51 </w:t>
      </w:r>
      <w:r w:rsidR="00141BE2">
        <w:rPr>
          <w:rFonts w:asciiTheme="minorHAnsi" w:eastAsiaTheme="minorEastAsia" w:hAnsiTheme="minorHAnsi" w:cstheme="minorBidi"/>
          <w:color w:val="000000" w:themeColor="text1"/>
          <w:sz w:val="22"/>
          <w:szCs w:val="22"/>
        </w:rPr>
        <w:t>%</w:t>
      </w:r>
      <w:r w:rsidRPr="46D54BE2">
        <w:rPr>
          <w:rFonts w:asciiTheme="minorHAnsi" w:eastAsiaTheme="minorEastAsia" w:hAnsiTheme="minorHAnsi" w:cstheme="minorBidi"/>
          <w:color w:val="000000" w:themeColor="text1"/>
          <w:sz w:val="22"/>
          <w:szCs w:val="22"/>
        </w:rPr>
        <w:t xml:space="preserve"> av de faktiske kostnadene, jf. generaladvokatens syn i </w:t>
      </w:r>
      <w:proofErr w:type="spellStart"/>
      <w:r w:rsidRPr="46D54BE2">
        <w:rPr>
          <w:rFonts w:asciiTheme="minorHAnsi" w:eastAsiaTheme="minorEastAsia" w:hAnsiTheme="minorHAnsi" w:cstheme="minorBidi"/>
          <w:color w:val="000000" w:themeColor="text1"/>
          <w:sz w:val="22"/>
          <w:szCs w:val="22"/>
        </w:rPr>
        <w:t>Scoula</w:t>
      </w:r>
      <w:proofErr w:type="spellEnd"/>
      <w:r w:rsidRPr="46D54BE2">
        <w:rPr>
          <w:rFonts w:asciiTheme="minorHAnsi" w:eastAsiaTheme="minorEastAsia" w:hAnsiTheme="minorHAnsi" w:cstheme="minorBidi"/>
          <w:color w:val="000000" w:themeColor="text1"/>
          <w:sz w:val="22"/>
          <w:szCs w:val="22"/>
        </w:rPr>
        <w:t xml:space="preserve"> Montessori-sakene.</w:t>
      </w:r>
      <w:r w:rsidRPr="5663A662">
        <w:rPr>
          <w:rStyle w:val="Fotnotereferanse"/>
          <w:rFonts w:asciiTheme="minorHAnsi" w:eastAsiaTheme="minorEastAsia" w:hAnsiTheme="minorHAnsi" w:cstheme="minorBidi"/>
          <w:color w:val="000000" w:themeColor="text1"/>
          <w:sz w:val="22"/>
          <w:szCs w:val="22"/>
        </w:rPr>
        <w:footnoteReference w:id="2"/>
      </w:r>
      <w:r w:rsidRPr="46D54BE2">
        <w:rPr>
          <w:rFonts w:asciiTheme="minorHAnsi" w:eastAsiaTheme="minorEastAsia" w:hAnsiTheme="minorHAnsi" w:cstheme="minorBidi"/>
          <w:color w:val="000000" w:themeColor="text1"/>
          <w:sz w:val="22"/>
          <w:szCs w:val="22"/>
        </w:rPr>
        <w:t xml:space="preserve"> Dette betyr at egenbetalingen fra studentene kan være </w:t>
      </w:r>
      <w:r w:rsidR="00ED21AB">
        <w:rPr>
          <w:rFonts w:asciiTheme="minorHAnsi" w:eastAsiaTheme="minorEastAsia" w:hAnsiTheme="minorHAnsi" w:cstheme="minorBidi"/>
          <w:i/>
          <w:iCs/>
          <w:color w:val="000000" w:themeColor="text1"/>
          <w:sz w:val="22"/>
          <w:szCs w:val="22"/>
        </w:rPr>
        <w:t>inntil</w:t>
      </w:r>
      <w:r w:rsidRPr="5663A662">
        <w:rPr>
          <w:rFonts w:asciiTheme="minorHAnsi" w:eastAsiaTheme="minorEastAsia" w:hAnsiTheme="minorHAnsi" w:cstheme="minorBidi"/>
          <w:i/>
          <w:iCs/>
          <w:color w:val="000000" w:themeColor="text1"/>
          <w:sz w:val="22"/>
          <w:szCs w:val="22"/>
        </w:rPr>
        <w:t xml:space="preserve"> 49 % </w:t>
      </w:r>
      <w:r w:rsidRPr="46D54BE2">
        <w:rPr>
          <w:rFonts w:asciiTheme="minorHAnsi" w:eastAsiaTheme="minorEastAsia" w:hAnsiTheme="minorHAnsi" w:cstheme="minorBidi"/>
          <w:color w:val="000000" w:themeColor="text1"/>
          <w:sz w:val="22"/>
          <w:szCs w:val="22"/>
        </w:rPr>
        <w:t>av kostnadene for</w:t>
      </w:r>
      <w:r w:rsidRPr="5663A662">
        <w:rPr>
          <w:rFonts w:asciiTheme="minorHAnsi" w:eastAsiaTheme="minorEastAsia" w:hAnsiTheme="minorHAnsi" w:cstheme="minorBidi"/>
          <w:i/>
          <w:iCs/>
          <w:color w:val="000000" w:themeColor="text1"/>
          <w:sz w:val="22"/>
          <w:szCs w:val="22"/>
        </w:rPr>
        <w:t xml:space="preserve"> ikke-økonomisk aktivitet.</w:t>
      </w:r>
      <w:r w:rsidRPr="46D54BE2">
        <w:rPr>
          <w:rFonts w:asciiTheme="minorHAnsi" w:eastAsiaTheme="minorEastAsia" w:hAnsiTheme="minorHAnsi" w:cstheme="minorBidi"/>
          <w:color w:val="000000" w:themeColor="text1"/>
          <w:sz w:val="22"/>
          <w:szCs w:val="22"/>
        </w:rPr>
        <w:t xml:space="preserve"> Dette er ensbetydende med at institusjonenes «egenfinansieringsprosent» for studiepoenggivende tilbud må være </w:t>
      </w:r>
      <w:r w:rsidRPr="00831884">
        <w:rPr>
          <w:rFonts w:asciiTheme="minorHAnsi" w:eastAsiaTheme="minorEastAsia" w:hAnsiTheme="minorHAnsi" w:cstheme="minorBidi"/>
          <w:i/>
          <w:color w:val="000000" w:themeColor="text1"/>
          <w:sz w:val="22"/>
          <w:szCs w:val="22"/>
        </w:rPr>
        <w:t xml:space="preserve">minst 51 </w:t>
      </w:r>
      <w:r w:rsidR="00141BE2" w:rsidRPr="00831884">
        <w:rPr>
          <w:rFonts w:asciiTheme="minorHAnsi" w:eastAsiaTheme="minorEastAsia" w:hAnsiTheme="minorHAnsi" w:cstheme="minorBidi"/>
          <w:i/>
          <w:color w:val="000000" w:themeColor="text1"/>
          <w:sz w:val="22"/>
          <w:szCs w:val="22"/>
        </w:rPr>
        <w:t>%</w:t>
      </w:r>
      <w:r w:rsidRPr="46D54BE2">
        <w:rPr>
          <w:rFonts w:asciiTheme="minorHAnsi" w:eastAsiaTheme="minorEastAsia" w:hAnsiTheme="minorHAnsi" w:cstheme="minorBidi"/>
          <w:color w:val="000000" w:themeColor="text1"/>
          <w:sz w:val="22"/>
          <w:szCs w:val="22"/>
        </w:rPr>
        <w:t xml:space="preserve">. </w:t>
      </w:r>
    </w:p>
    <w:p w14:paraId="66ADEB72" w14:textId="4D11F58D" w:rsidR="00287CFE" w:rsidRPr="00881966" w:rsidRDefault="28257F58">
      <w:r w:rsidRPr="46D54BE2">
        <w:rPr>
          <w:rFonts w:asciiTheme="minorHAnsi" w:eastAsiaTheme="minorEastAsia" w:hAnsiTheme="minorHAnsi" w:cstheme="minorBidi"/>
          <w:color w:val="000000" w:themeColor="text1"/>
          <w:sz w:val="22"/>
          <w:szCs w:val="22"/>
        </w:rPr>
        <w:t>Ved beregning av egenfinansieringsprosent for EVU</w:t>
      </w:r>
      <w:r w:rsidR="000515E8">
        <w:rPr>
          <w:rFonts w:asciiTheme="minorHAnsi" w:eastAsiaTheme="minorEastAsia" w:hAnsiTheme="minorHAnsi" w:cstheme="minorBidi"/>
          <w:color w:val="000000" w:themeColor="text1"/>
          <w:sz w:val="22"/>
          <w:szCs w:val="22"/>
        </w:rPr>
        <w:t xml:space="preserve"> som har </w:t>
      </w:r>
      <w:r w:rsidR="000515E8" w:rsidRPr="003E7FC9">
        <w:rPr>
          <w:rFonts w:asciiTheme="minorHAnsi" w:eastAsiaTheme="minorEastAsia" w:hAnsiTheme="minorHAnsi" w:cstheme="minorBidi"/>
          <w:i/>
          <w:color w:val="000000" w:themeColor="text1"/>
          <w:sz w:val="22"/>
          <w:szCs w:val="22"/>
        </w:rPr>
        <w:t xml:space="preserve">delvis </w:t>
      </w:r>
      <w:r w:rsidR="000515E8" w:rsidRPr="003E7FC9">
        <w:rPr>
          <w:rFonts w:asciiTheme="minorHAnsi" w:eastAsiaTheme="minorEastAsia" w:hAnsiTheme="minorHAnsi" w:cstheme="minorBidi"/>
          <w:color w:val="000000" w:themeColor="text1"/>
          <w:sz w:val="22"/>
          <w:szCs w:val="22"/>
        </w:rPr>
        <w:t xml:space="preserve">ekstern </w:t>
      </w:r>
      <w:r w:rsidR="000515E8">
        <w:rPr>
          <w:rFonts w:asciiTheme="minorHAnsi" w:eastAsiaTheme="minorEastAsia" w:hAnsiTheme="minorHAnsi" w:cstheme="minorBidi"/>
          <w:color w:val="000000" w:themeColor="text1"/>
          <w:sz w:val="22"/>
          <w:szCs w:val="22"/>
        </w:rPr>
        <w:t>finansiering</w:t>
      </w:r>
      <w:r w:rsidRPr="46D54BE2">
        <w:rPr>
          <w:rFonts w:asciiTheme="minorHAnsi" w:eastAsiaTheme="minorEastAsia" w:hAnsiTheme="minorHAnsi" w:cstheme="minorBidi"/>
          <w:color w:val="000000" w:themeColor="text1"/>
          <w:sz w:val="22"/>
          <w:szCs w:val="22"/>
        </w:rPr>
        <w:t>, er det stykkprisfinansieringen i Kunnskapsdepartementets finansieringsmodell som legges til grunn, ikke faktiske kostnader for utdanningen. Dette betyr at departementet antar at gjennomsnittlige kostnader for studieprogrammene er lik stykkprisfinansieringen. Dette er en rimelig forutsetning selv om institusjonene fritt kan disponere mer eller mindre av rammebevilgningen til et enkelt studieprogram. En slik gjennomsnittsberegning basert på stykkprisfinansiering gjør at vi unngår tidkrevende arbeid for å dokumentere kostnader for hvert enkelt emne.</w:t>
      </w:r>
    </w:p>
    <w:p w14:paraId="392E6C86" w14:textId="072B6A54" w:rsidR="00287CFE" w:rsidRPr="00881966" w:rsidRDefault="28257F58">
      <w:r w:rsidRPr="46D54BE2">
        <w:rPr>
          <w:rFonts w:asciiTheme="minorHAnsi" w:eastAsiaTheme="minorEastAsia" w:hAnsiTheme="minorHAnsi" w:cstheme="minorBidi"/>
          <w:color w:val="000000" w:themeColor="text1"/>
          <w:sz w:val="22"/>
          <w:szCs w:val="22"/>
        </w:rPr>
        <w:t xml:space="preserve">Andre undervisningsaktiviteter som tilbys i et marked, som kurs (uten studiepoeng), </w:t>
      </w:r>
      <w:r w:rsidRPr="00263A0A">
        <w:rPr>
          <w:rFonts w:asciiTheme="minorHAnsi" w:eastAsiaTheme="minorEastAsia" w:hAnsiTheme="minorHAnsi" w:cstheme="minorBidi"/>
          <w:i/>
          <w:color w:val="000000" w:themeColor="text1"/>
          <w:sz w:val="22"/>
          <w:szCs w:val="22"/>
        </w:rPr>
        <w:t>og</w:t>
      </w:r>
      <w:r w:rsidRPr="46D54BE2">
        <w:rPr>
          <w:rFonts w:asciiTheme="minorHAnsi" w:eastAsiaTheme="minorEastAsia" w:hAnsiTheme="minorHAnsi" w:cstheme="minorBidi"/>
          <w:color w:val="000000" w:themeColor="text1"/>
          <w:sz w:val="22"/>
          <w:szCs w:val="22"/>
        </w:rPr>
        <w:t xml:space="preserve"> utdanningstilbud der staten/institusjonen </w:t>
      </w:r>
      <w:r w:rsidR="007F7D87" w:rsidRPr="007F7D87">
        <w:rPr>
          <w:rFonts w:asciiTheme="minorHAnsi" w:eastAsiaTheme="minorEastAsia" w:hAnsiTheme="minorHAnsi" w:cstheme="minorBidi"/>
          <w:i/>
          <w:color w:val="000000" w:themeColor="text1"/>
          <w:sz w:val="22"/>
          <w:szCs w:val="22"/>
        </w:rPr>
        <w:t>ikke</w:t>
      </w:r>
      <w:r w:rsidRPr="007F7D87">
        <w:rPr>
          <w:rFonts w:asciiTheme="minorHAnsi" w:eastAsiaTheme="minorEastAsia" w:hAnsiTheme="minorHAnsi" w:cstheme="minorBidi"/>
          <w:i/>
          <w:color w:val="000000" w:themeColor="text1"/>
          <w:sz w:val="22"/>
          <w:szCs w:val="22"/>
        </w:rPr>
        <w:t xml:space="preserve"> </w:t>
      </w:r>
      <w:r w:rsidR="007F7D87">
        <w:rPr>
          <w:rFonts w:asciiTheme="minorHAnsi" w:eastAsiaTheme="minorEastAsia" w:hAnsiTheme="minorHAnsi" w:cstheme="minorBidi"/>
          <w:i/>
          <w:color w:val="000000" w:themeColor="text1"/>
          <w:sz w:val="22"/>
          <w:szCs w:val="22"/>
        </w:rPr>
        <w:t xml:space="preserve">betaler </w:t>
      </w:r>
      <w:r w:rsidRPr="007F7D87">
        <w:rPr>
          <w:rFonts w:asciiTheme="minorHAnsi" w:eastAsiaTheme="minorEastAsia" w:hAnsiTheme="minorHAnsi" w:cstheme="minorBidi"/>
          <w:i/>
          <w:color w:val="000000" w:themeColor="text1"/>
          <w:sz w:val="22"/>
          <w:szCs w:val="22"/>
        </w:rPr>
        <w:t>hovedparten</w:t>
      </w:r>
      <w:r w:rsidRPr="46D54BE2">
        <w:rPr>
          <w:rFonts w:asciiTheme="minorHAnsi" w:eastAsiaTheme="minorEastAsia" w:hAnsiTheme="minorHAnsi" w:cstheme="minorBidi"/>
          <w:color w:val="000000" w:themeColor="text1"/>
          <w:sz w:val="22"/>
          <w:szCs w:val="22"/>
        </w:rPr>
        <w:t xml:space="preserve"> av kostnadene, er å anse som </w:t>
      </w:r>
      <w:r w:rsidRPr="46D54BE2">
        <w:rPr>
          <w:rFonts w:asciiTheme="minorHAnsi" w:eastAsiaTheme="minorEastAsia" w:hAnsiTheme="minorHAnsi" w:cstheme="minorBidi"/>
          <w:b/>
          <w:bCs/>
          <w:i/>
          <w:iCs/>
          <w:color w:val="000000" w:themeColor="text1"/>
          <w:sz w:val="22"/>
          <w:szCs w:val="22"/>
        </w:rPr>
        <w:t>økonomisk aktivitet</w:t>
      </w:r>
      <w:r w:rsidRPr="46D54BE2">
        <w:rPr>
          <w:rFonts w:asciiTheme="minorHAnsi" w:eastAsiaTheme="minorEastAsia" w:hAnsiTheme="minorHAnsi" w:cstheme="minorBidi"/>
          <w:color w:val="000000" w:themeColor="text1"/>
          <w:sz w:val="22"/>
          <w:szCs w:val="22"/>
        </w:rPr>
        <w:t xml:space="preserve">. Egenbetalingen for tilbudene må i slike tilfeller alltid </w:t>
      </w:r>
      <w:r w:rsidRPr="46D54BE2">
        <w:rPr>
          <w:rFonts w:asciiTheme="minorHAnsi" w:eastAsiaTheme="minorEastAsia" w:hAnsiTheme="minorHAnsi" w:cstheme="minorBidi"/>
          <w:i/>
          <w:iCs/>
          <w:color w:val="000000" w:themeColor="text1"/>
          <w:sz w:val="22"/>
          <w:szCs w:val="22"/>
        </w:rPr>
        <w:t xml:space="preserve">dekke totale kostnader, pluss en rimelig margin for fortjeneste. </w:t>
      </w:r>
      <w:r w:rsidRPr="46D54BE2">
        <w:rPr>
          <w:rFonts w:asciiTheme="minorHAnsi" w:eastAsiaTheme="minorEastAsia" w:hAnsiTheme="minorHAnsi" w:cstheme="minorBidi"/>
          <w:color w:val="000000" w:themeColor="text1"/>
          <w:sz w:val="22"/>
          <w:szCs w:val="22"/>
        </w:rPr>
        <w:t xml:space="preserve">For økonomisk aktivitet benyttes TDI-modellen for </w:t>
      </w:r>
      <w:r w:rsidRPr="46D54BE2">
        <w:rPr>
          <w:rFonts w:asciiTheme="minorHAnsi" w:eastAsiaTheme="minorEastAsia" w:hAnsiTheme="minorHAnsi" w:cstheme="minorBidi"/>
          <w:color w:val="000000" w:themeColor="text1"/>
          <w:sz w:val="22"/>
          <w:szCs w:val="22"/>
        </w:rPr>
        <w:lastRenderedPageBreak/>
        <w:t>kostnadsberegning. Alternativt kan Kunnskapsdepartementets stykkprisfinansiering benyttes for tilbud som er studiepoenggivende.</w:t>
      </w:r>
    </w:p>
    <w:p w14:paraId="4506310A" w14:textId="757D2731" w:rsidR="00287CFE" w:rsidRPr="00881966" w:rsidRDefault="28257F58">
      <w:r w:rsidRPr="262002DF">
        <w:rPr>
          <w:rFonts w:asciiTheme="minorHAnsi" w:eastAsiaTheme="minorEastAsia" w:hAnsiTheme="minorHAnsi" w:cstheme="minorBidi"/>
          <w:color w:val="000000" w:themeColor="text1"/>
          <w:sz w:val="22"/>
          <w:szCs w:val="22"/>
        </w:rPr>
        <w:t xml:space="preserve">I følge statsstøtteregelverket, er det altså </w:t>
      </w:r>
      <w:r w:rsidRPr="262002DF">
        <w:rPr>
          <w:rFonts w:asciiTheme="minorHAnsi" w:eastAsiaTheme="minorEastAsia" w:hAnsiTheme="minorHAnsi" w:cstheme="minorBidi"/>
          <w:i/>
          <w:iCs/>
          <w:color w:val="000000" w:themeColor="text1"/>
          <w:sz w:val="22"/>
          <w:szCs w:val="22"/>
        </w:rPr>
        <w:t xml:space="preserve">ikke adgang til å ta egenbetaling mellom 49 % og 99 % av kostnadene </w:t>
      </w:r>
      <w:r w:rsidRPr="262002DF">
        <w:rPr>
          <w:rFonts w:asciiTheme="minorHAnsi" w:eastAsiaTheme="minorEastAsia" w:hAnsiTheme="minorHAnsi" w:cstheme="minorBidi"/>
          <w:color w:val="000000" w:themeColor="text1"/>
          <w:sz w:val="22"/>
          <w:szCs w:val="22"/>
        </w:rPr>
        <w:t xml:space="preserve">for utdanningstilbud. For å klassifisere aktiviteten som ikke-økonomisk eller økonomisk må </w:t>
      </w:r>
      <w:r w:rsidRPr="262002DF">
        <w:rPr>
          <w:rFonts w:asciiTheme="minorHAnsi" w:eastAsiaTheme="minorEastAsia" w:hAnsiTheme="minorHAnsi" w:cstheme="minorBidi"/>
          <w:i/>
          <w:iCs/>
          <w:color w:val="000000" w:themeColor="text1"/>
          <w:sz w:val="22"/>
          <w:szCs w:val="22"/>
        </w:rPr>
        <w:t>hver uavhengige aktivitet</w:t>
      </w:r>
      <w:r w:rsidRPr="262002DF">
        <w:rPr>
          <w:rFonts w:asciiTheme="minorHAnsi" w:eastAsiaTheme="minorEastAsia" w:hAnsiTheme="minorHAnsi" w:cstheme="minorBidi"/>
          <w:b/>
          <w:bCs/>
          <w:color w:val="000000" w:themeColor="text1"/>
          <w:sz w:val="22"/>
          <w:szCs w:val="22"/>
        </w:rPr>
        <w:t xml:space="preserve"> </w:t>
      </w:r>
      <w:r w:rsidRPr="262002DF">
        <w:rPr>
          <w:rFonts w:asciiTheme="minorHAnsi" w:eastAsiaTheme="minorEastAsia" w:hAnsiTheme="minorHAnsi" w:cstheme="minorBidi"/>
          <w:color w:val="000000" w:themeColor="text1"/>
          <w:sz w:val="22"/>
          <w:szCs w:val="22"/>
        </w:rPr>
        <w:t>vurderes for seg. Aktiviteter som henger sammen, vurderes samlet.</w:t>
      </w:r>
    </w:p>
    <w:p w14:paraId="199416BD" w14:textId="27F43EC3" w:rsidR="00287CFE" w:rsidRPr="008D5E47" w:rsidRDefault="00287CFE">
      <w:pPr>
        <w:rPr>
          <w:rFonts w:asciiTheme="minorHAnsi" w:eastAsiaTheme="minorEastAsia" w:hAnsiTheme="minorHAnsi" w:cstheme="minorBidi"/>
          <w:color w:val="000000" w:themeColor="text1"/>
          <w:sz w:val="22"/>
          <w:szCs w:val="22"/>
        </w:rPr>
      </w:pPr>
      <w:r w:rsidRPr="1AE49FCB">
        <w:rPr>
          <w:rFonts w:asciiTheme="minorHAnsi" w:eastAsiaTheme="minorEastAsia" w:hAnsiTheme="minorHAnsi" w:cstheme="minorBidi"/>
          <w:color w:val="000000" w:themeColor="text1"/>
          <w:sz w:val="22"/>
          <w:szCs w:val="22"/>
        </w:rPr>
        <w:t>Institusjonene er selv ansvarlig</w:t>
      </w:r>
      <w:r w:rsidR="00656D6C">
        <w:rPr>
          <w:rFonts w:asciiTheme="minorHAnsi" w:eastAsiaTheme="minorEastAsia" w:hAnsiTheme="minorHAnsi" w:cstheme="minorBidi"/>
          <w:color w:val="000000" w:themeColor="text1"/>
          <w:sz w:val="22"/>
          <w:szCs w:val="22"/>
        </w:rPr>
        <w:t>e</w:t>
      </w:r>
      <w:r w:rsidRPr="1AE49FCB">
        <w:rPr>
          <w:rFonts w:asciiTheme="minorHAnsi" w:eastAsiaTheme="minorEastAsia" w:hAnsiTheme="minorHAnsi" w:cstheme="minorBidi"/>
          <w:color w:val="000000" w:themeColor="text1"/>
          <w:sz w:val="22"/>
          <w:szCs w:val="22"/>
        </w:rPr>
        <w:t xml:space="preserve"> for å dokumentere at aktiviteten faller inn under ett av unntakene i egenbetalingsforskriften og at egenbetalingen er i tråd med statsstøtteregelverket. Økonomisk aktivitet må holdes atskilt fra ikke-økonomisk aktivitet</w:t>
      </w:r>
      <w:r w:rsidR="001E580F">
        <w:rPr>
          <w:rFonts w:asciiTheme="minorHAnsi" w:eastAsiaTheme="minorEastAsia" w:hAnsiTheme="minorHAnsi" w:cstheme="minorBidi"/>
          <w:color w:val="000000" w:themeColor="text1"/>
          <w:sz w:val="22"/>
          <w:szCs w:val="22"/>
        </w:rPr>
        <w:t xml:space="preserve"> i institusjonenes regnskap</w:t>
      </w:r>
      <w:r w:rsidRPr="1AE49FCB">
        <w:rPr>
          <w:rFonts w:asciiTheme="minorHAnsi" w:eastAsiaTheme="minorEastAsia" w:hAnsiTheme="minorHAnsi" w:cstheme="minorBidi"/>
          <w:color w:val="000000" w:themeColor="text1"/>
          <w:sz w:val="22"/>
          <w:szCs w:val="22"/>
        </w:rPr>
        <w:t xml:space="preserve"> for å unngå kryssubsidiering. </w:t>
      </w:r>
    </w:p>
    <w:p w14:paraId="61391CC9" w14:textId="77777777" w:rsidR="00287CFE" w:rsidRPr="00881966" w:rsidRDefault="00287CFE">
      <w:bookmarkStart w:id="2" w:name="_Toc515625990"/>
      <w:r w:rsidRPr="00881966">
        <w:rPr>
          <w:rFonts w:asciiTheme="minorHAnsi" w:eastAsiaTheme="majorEastAsia" w:hAnsiTheme="minorHAnsi" w:cstheme="minorHAnsi"/>
          <w:color w:val="000000" w:themeColor="text1"/>
          <w:sz w:val="22"/>
          <w:szCs w:val="22"/>
        </w:rPr>
        <w:t>Unntakene i egenbetalingsforskriften § 3-2 (1) kan klassifiseres i økonomisk og ikke-økonomisk aktivitet slik:</w:t>
      </w:r>
    </w:p>
    <w:tbl>
      <w:tblPr>
        <w:tblStyle w:val="Tabellrutenett"/>
        <w:tblW w:w="8791" w:type="dxa"/>
        <w:tblLook w:val="04A0" w:firstRow="1" w:lastRow="0" w:firstColumn="1" w:lastColumn="0" w:noHBand="0" w:noVBand="1"/>
      </w:tblPr>
      <w:tblGrid>
        <w:gridCol w:w="2830"/>
        <w:gridCol w:w="1276"/>
        <w:gridCol w:w="1418"/>
        <w:gridCol w:w="3267"/>
      </w:tblGrid>
      <w:tr w:rsidR="00287CFE" w:rsidRPr="008D5E47" w14:paraId="7C64799F" w14:textId="77777777" w:rsidTr="00074688">
        <w:trPr>
          <w:trHeight w:val="759"/>
        </w:trPr>
        <w:tc>
          <w:tcPr>
            <w:tcW w:w="2830" w:type="dxa"/>
          </w:tcPr>
          <w:p w14:paraId="671239D6" w14:textId="77777777" w:rsidR="00287CFE" w:rsidRPr="00881966" w:rsidRDefault="00287CFE">
            <w:r w:rsidRPr="00881966">
              <w:rPr>
                <w:rFonts w:asciiTheme="minorHAnsi" w:eastAsiaTheme="majorEastAsia" w:hAnsiTheme="minorHAnsi" w:cstheme="minorHAnsi"/>
                <w:b/>
                <w:color w:val="000000" w:themeColor="text1"/>
                <w:sz w:val="22"/>
                <w:szCs w:val="22"/>
              </w:rPr>
              <w:t>Unntak i § 3-2 (1):</w:t>
            </w:r>
          </w:p>
        </w:tc>
        <w:tc>
          <w:tcPr>
            <w:tcW w:w="1276" w:type="dxa"/>
          </w:tcPr>
          <w:p w14:paraId="4141B962" w14:textId="77777777" w:rsidR="00287CFE" w:rsidRPr="00881966" w:rsidRDefault="00287CFE">
            <w:r w:rsidRPr="00881966">
              <w:rPr>
                <w:rFonts w:asciiTheme="minorHAnsi" w:eastAsiaTheme="majorEastAsia" w:hAnsiTheme="minorHAnsi" w:cstheme="minorHAnsi"/>
                <w:b/>
                <w:color w:val="000000" w:themeColor="text1"/>
                <w:sz w:val="22"/>
                <w:szCs w:val="22"/>
              </w:rPr>
              <w:t>Ikke-økonomisk aktivitet</w:t>
            </w:r>
          </w:p>
        </w:tc>
        <w:tc>
          <w:tcPr>
            <w:tcW w:w="1418" w:type="dxa"/>
          </w:tcPr>
          <w:p w14:paraId="1171BAFF" w14:textId="77777777" w:rsidR="00287CFE" w:rsidRPr="00881966" w:rsidRDefault="00287CFE">
            <w:r w:rsidRPr="00881966">
              <w:rPr>
                <w:rFonts w:asciiTheme="minorHAnsi" w:eastAsiaTheme="majorEastAsia" w:hAnsiTheme="minorHAnsi" w:cstheme="minorHAnsi"/>
                <w:b/>
                <w:color w:val="000000" w:themeColor="text1"/>
                <w:sz w:val="22"/>
                <w:szCs w:val="22"/>
              </w:rPr>
              <w:t>Økonomisk aktivitet</w:t>
            </w:r>
          </w:p>
        </w:tc>
        <w:tc>
          <w:tcPr>
            <w:tcW w:w="3267" w:type="dxa"/>
          </w:tcPr>
          <w:p w14:paraId="531F8CAC" w14:textId="77777777" w:rsidR="00287CFE" w:rsidRPr="00881966" w:rsidRDefault="00287CFE">
            <w:r w:rsidRPr="00881966">
              <w:rPr>
                <w:rFonts w:asciiTheme="minorHAnsi" w:eastAsiaTheme="majorEastAsia" w:hAnsiTheme="minorHAnsi" w:cstheme="minorHAnsi"/>
                <w:b/>
                <w:color w:val="000000" w:themeColor="text1"/>
                <w:sz w:val="22"/>
                <w:szCs w:val="22"/>
              </w:rPr>
              <w:t>Egenbetaling (studentbetaling)</w:t>
            </w:r>
          </w:p>
        </w:tc>
      </w:tr>
      <w:tr w:rsidR="00287CFE" w:rsidRPr="008D5E47" w14:paraId="701C4587" w14:textId="77777777" w:rsidTr="00074688">
        <w:trPr>
          <w:trHeight w:val="765"/>
        </w:trPr>
        <w:tc>
          <w:tcPr>
            <w:tcW w:w="2830" w:type="dxa"/>
          </w:tcPr>
          <w:p w14:paraId="359AD27B" w14:textId="77777777" w:rsidR="00287CFE" w:rsidRPr="00881966" w:rsidRDefault="00287CFE">
            <w:pPr>
              <w:pStyle w:val="Listeavsnitt"/>
              <w:numPr>
                <w:ilvl w:val="0"/>
                <w:numId w:val="47"/>
              </w:numPr>
            </w:pPr>
            <w:r w:rsidRPr="00881966">
              <w:rPr>
                <w:rFonts w:asciiTheme="minorHAnsi" w:eastAsiaTheme="majorEastAsia" w:hAnsiTheme="minorHAnsi" w:cstheme="minorHAnsi"/>
                <w:b/>
                <w:color w:val="000000" w:themeColor="text1"/>
                <w:sz w:val="22"/>
                <w:szCs w:val="22"/>
              </w:rPr>
              <w:t>Kurs</w:t>
            </w:r>
          </w:p>
        </w:tc>
        <w:tc>
          <w:tcPr>
            <w:tcW w:w="1276" w:type="dxa"/>
          </w:tcPr>
          <w:p w14:paraId="0F898D22" w14:textId="77777777" w:rsidR="00287CFE" w:rsidRPr="008D5E47" w:rsidRDefault="00287CFE" w:rsidP="00D94A5F">
            <w:pPr>
              <w:jc w:val="center"/>
              <w:rPr>
                <w:rFonts w:asciiTheme="minorHAnsi" w:eastAsiaTheme="majorEastAsia" w:hAnsiTheme="minorHAnsi" w:cstheme="minorHAnsi"/>
                <w:color w:val="000000" w:themeColor="text1"/>
                <w:sz w:val="22"/>
                <w:szCs w:val="22"/>
              </w:rPr>
            </w:pPr>
          </w:p>
        </w:tc>
        <w:tc>
          <w:tcPr>
            <w:tcW w:w="1418" w:type="dxa"/>
          </w:tcPr>
          <w:p w14:paraId="2AF7F9AA" w14:textId="77777777" w:rsidR="00287CFE" w:rsidRPr="008D5E47" w:rsidRDefault="00287CFE">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p w14:paraId="0631BDF6" w14:textId="77777777" w:rsidR="00287CFE" w:rsidRPr="008D5E47" w:rsidRDefault="00287CFE" w:rsidP="00D94A5F">
            <w:pPr>
              <w:rPr>
                <w:rFonts w:asciiTheme="minorHAnsi" w:eastAsiaTheme="majorEastAsia" w:hAnsiTheme="minorHAnsi" w:cstheme="minorHAnsi"/>
                <w:color w:val="000000" w:themeColor="text1"/>
                <w:sz w:val="22"/>
                <w:szCs w:val="22"/>
              </w:rPr>
            </w:pPr>
          </w:p>
        </w:tc>
        <w:tc>
          <w:tcPr>
            <w:tcW w:w="3267" w:type="dxa"/>
          </w:tcPr>
          <w:p w14:paraId="3D51399E" w14:textId="77777777" w:rsidR="00287CFE" w:rsidRPr="00881966" w:rsidRDefault="00287CFE">
            <w:r w:rsidRPr="00881966">
              <w:rPr>
                <w:rFonts w:asciiTheme="minorHAnsi" w:eastAsiaTheme="majorEastAsia" w:hAnsiTheme="minorHAnsi" w:cstheme="minorHAnsi"/>
                <w:color w:val="000000" w:themeColor="text1"/>
                <w:sz w:val="22"/>
                <w:szCs w:val="22"/>
              </w:rPr>
              <w:t xml:space="preserve">100 % av totale kostnader pluss margin for fortjeneste </w:t>
            </w:r>
          </w:p>
        </w:tc>
      </w:tr>
      <w:tr w:rsidR="00287CFE" w:rsidRPr="008D5E47" w14:paraId="6A538E47" w14:textId="77777777" w:rsidTr="00074688">
        <w:trPr>
          <w:trHeight w:val="1519"/>
        </w:trPr>
        <w:tc>
          <w:tcPr>
            <w:tcW w:w="2830" w:type="dxa"/>
          </w:tcPr>
          <w:p w14:paraId="07A431CD" w14:textId="77777777" w:rsidR="00287CFE" w:rsidRPr="00881966" w:rsidRDefault="00287CFE">
            <w:pPr>
              <w:pStyle w:val="Listeavsnitt"/>
              <w:numPr>
                <w:ilvl w:val="0"/>
                <w:numId w:val="47"/>
              </w:numPr>
            </w:pPr>
            <w:r w:rsidRPr="00881966">
              <w:rPr>
                <w:rFonts w:asciiTheme="minorHAnsi" w:eastAsiaTheme="majorEastAsia" w:hAnsiTheme="minorHAnsi" w:cstheme="minorHAnsi"/>
                <w:b/>
                <w:color w:val="000000" w:themeColor="text1"/>
                <w:sz w:val="22"/>
                <w:szCs w:val="22"/>
              </w:rPr>
              <w:t>Fag/emner som normalt ikke er en del av studieprogram som fører fram til grad eller yrkesutdanning</w:t>
            </w:r>
          </w:p>
        </w:tc>
        <w:tc>
          <w:tcPr>
            <w:tcW w:w="1276" w:type="dxa"/>
          </w:tcPr>
          <w:p w14:paraId="41172C5C" w14:textId="77777777" w:rsidR="00287CFE" w:rsidRPr="008D5E47" w:rsidRDefault="00287CFE">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tc>
        <w:tc>
          <w:tcPr>
            <w:tcW w:w="1418" w:type="dxa"/>
          </w:tcPr>
          <w:p w14:paraId="310DA9AD" w14:textId="77777777" w:rsidR="00287CFE" w:rsidRPr="008D5E47" w:rsidRDefault="00287CFE">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tc>
        <w:tc>
          <w:tcPr>
            <w:tcW w:w="3267" w:type="dxa"/>
          </w:tcPr>
          <w:p w14:paraId="74332D08" w14:textId="77777777" w:rsidR="00287CFE" w:rsidRPr="00881966" w:rsidRDefault="00287CFE">
            <w:r w:rsidRPr="00881966">
              <w:rPr>
                <w:rFonts w:asciiTheme="minorHAnsi" w:eastAsiaTheme="majorEastAsia" w:hAnsiTheme="minorHAnsi" w:cstheme="minorHAnsi"/>
                <w:iCs/>
                <w:color w:val="000000" w:themeColor="text1"/>
                <w:sz w:val="22"/>
                <w:szCs w:val="22"/>
              </w:rPr>
              <w:t xml:space="preserve">Kan velge </w:t>
            </w:r>
            <w:r w:rsidRPr="00881966">
              <w:rPr>
                <w:rFonts w:asciiTheme="minorHAnsi" w:eastAsiaTheme="majorEastAsia" w:hAnsiTheme="minorHAnsi" w:cstheme="minorHAnsi"/>
                <w:i/>
                <w:iCs/>
                <w:color w:val="000000" w:themeColor="text1"/>
                <w:sz w:val="22"/>
                <w:szCs w:val="22"/>
              </w:rPr>
              <w:t>enten</w:t>
            </w:r>
            <w:r w:rsidRPr="00881966">
              <w:rPr>
                <w:rFonts w:asciiTheme="minorHAnsi" w:eastAsiaTheme="majorEastAsia" w:hAnsiTheme="minorHAnsi" w:cstheme="minorHAnsi"/>
                <w:iCs/>
                <w:color w:val="000000" w:themeColor="text1"/>
                <w:sz w:val="22"/>
                <w:szCs w:val="22"/>
              </w:rPr>
              <w:t xml:space="preserve"> inntil 49 % av totale kostnader (ikke-økonomisk aktivitet), </w:t>
            </w:r>
            <w:r w:rsidRPr="00881966">
              <w:rPr>
                <w:rFonts w:asciiTheme="minorHAnsi" w:eastAsiaTheme="majorEastAsia" w:hAnsiTheme="minorHAnsi" w:cstheme="minorHAnsi"/>
                <w:i/>
                <w:iCs/>
                <w:color w:val="000000" w:themeColor="text1"/>
                <w:sz w:val="22"/>
                <w:szCs w:val="22"/>
              </w:rPr>
              <w:t>eller</w:t>
            </w:r>
            <w:r w:rsidRPr="00881966">
              <w:rPr>
                <w:rFonts w:asciiTheme="minorHAnsi" w:eastAsiaTheme="majorEastAsia" w:hAnsiTheme="minorHAnsi" w:cstheme="minorHAnsi"/>
                <w:iCs/>
                <w:color w:val="000000" w:themeColor="text1"/>
                <w:sz w:val="22"/>
                <w:szCs w:val="22"/>
              </w:rPr>
              <w:t xml:space="preserve"> 100 % av totale kostnader pluss margin for fortjeneste (økonomisk aktivitet)</w:t>
            </w:r>
          </w:p>
        </w:tc>
      </w:tr>
      <w:tr w:rsidR="00287CFE" w:rsidRPr="008D5E47" w14:paraId="7BB83B88" w14:textId="77777777" w:rsidTr="00074688">
        <w:trPr>
          <w:trHeight w:val="1519"/>
        </w:trPr>
        <w:tc>
          <w:tcPr>
            <w:tcW w:w="2830" w:type="dxa"/>
          </w:tcPr>
          <w:p w14:paraId="22863C18" w14:textId="77777777" w:rsidR="00287CFE" w:rsidRPr="00881966" w:rsidRDefault="00287CFE">
            <w:pPr>
              <w:pStyle w:val="Listeavsnitt"/>
              <w:numPr>
                <w:ilvl w:val="0"/>
                <w:numId w:val="47"/>
              </w:numPr>
            </w:pPr>
            <w:r w:rsidRPr="00881966">
              <w:rPr>
                <w:rFonts w:asciiTheme="minorHAnsi" w:eastAsiaTheme="majorEastAsia" w:hAnsiTheme="minorHAnsi" w:cstheme="minorHAnsi"/>
                <w:b/>
                <w:color w:val="000000" w:themeColor="text1"/>
                <w:sz w:val="22"/>
                <w:szCs w:val="22"/>
              </w:rPr>
              <w:t>Erfaringsbaserte mastergradsstudier</w:t>
            </w:r>
          </w:p>
          <w:p w14:paraId="12BC39B1" w14:textId="77777777" w:rsidR="00287CFE" w:rsidRPr="008D5E47" w:rsidRDefault="00287CFE" w:rsidP="00D94A5F">
            <w:pPr>
              <w:rPr>
                <w:rFonts w:asciiTheme="minorHAnsi" w:eastAsiaTheme="majorEastAsia" w:hAnsiTheme="minorHAnsi" w:cstheme="minorHAnsi"/>
                <w:b/>
                <w:color w:val="000000" w:themeColor="text1"/>
                <w:sz w:val="22"/>
                <w:szCs w:val="22"/>
              </w:rPr>
            </w:pPr>
          </w:p>
        </w:tc>
        <w:tc>
          <w:tcPr>
            <w:tcW w:w="1276" w:type="dxa"/>
          </w:tcPr>
          <w:p w14:paraId="59FDEE07" w14:textId="77777777" w:rsidR="00287CFE" w:rsidRPr="008D5E47" w:rsidRDefault="00287CFE">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tc>
        <w:tc>
          <w:tcPr>
            <w:tcW w:w="1418" w:type="dxa"/>
          </w:tcPr>
          <w:p w14:paraId="7DA15B41" w14:textId="77777777" w:rsidR="00287CFE" w:rsidRPr="008D5E47" w:rsidRDefault="00287CFE">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tc>
        <w:tc>
          <w:tcPr>
            <w:tcW w:w="3267" w:type="dxa"/>
          </w:tcPr>
          <w:p w14:paraId="3236CF37" w14:textId="77777777" w:rsidR="00287CFE" w:rsidRPr="00881966" w:rsidRDefault="00287CFE">
            <w:r w:rsidRPr="00881966">
              <w:rPr>
                <w:rFonts w:asciiTheme="minorHAnsi" w:eastAsiaTheme="majorEastAsia" w:hAnsiTheme="minorHAnsi" w:cstheme="minorHAnsi"/>
                <w:iCs/>
                <w:color w:val="000000" w:themeColor="text1"/>
                <w:sz w:val="22"/>
                <w:szCs w:val="22"/>
              </w:rPr>
              <w:t xml:space="preserve">Kan velge </w:t>
            </w:r>
            <w:r w:rsidRPr="00881966">
              <w:rPr>
                <w:rFonts w:asciiTheme="minorHAnsi" w:eastAsiaTheme="majorEastAsia" w:hAnsiTheme="minorHAnsi" w:cstheme="minorHAnsi"/>
                <w:i/>
                <w:iCs/>
                <w:color w:val="000000" w:themeColor="text1"/>
                <w:sz w:val="22"/>
                <w:szCs w:val="22"/>
              </w:rPr>
              <w:t>enten</w:t>
            </w:r>
            <w:r w:rsidRPr="00881966">
              <w:rPr>
                <w:rFonts w:asciiTheme="minorHAnsi" w:eastAsiaTheme="majorEastAsia" w:hAnsiTheme="minorHAnsi" w:cstheme="minorHAnsi"/>
                <w:iCs/>
                <w:color w:val="000000" w:themeColor="text1"/>
                <w:sz w:val="22"/>
                <w:szCs w:val="22"/>
              </w:rPr>
              <w:t xml:space="preserve"> inntil 49 % av totale kostnader (ikke-økonomisk aktivitet), </w:t>
            </w:r>
            <w:r w:rsidRPr="00881966">
              <w:rPr>
                <w:rFonts w:asciiTheme="minorHAnsi" w:eastAsiaTheme="majorEastAsia" w:hAnsiTheme="minorHAnsi" w:cstheme="minorHAnsi"/>
                <w:i/>
                <w:iCs/>
                <w:color w:val="000000" w:themeColor="text1"/>
                <w:sz w:val="22"/>
                <w:szCs w:val="22"/>
              </w:rPr>
              <w:t xml:space="preserve">eller </w:t>
            </w:r>
            <w:r w:rsidRPr="00881966">
              <w:rPr>
                <w:rFonts w:asciiTheme="minorHAnsi" w:eastAsiaTheme="majorEastAsia" w:hAnsiTheme="minorHAnsi" w:cstheme="minorHAnsi"/>
                <w:iCs/>
                <w:color w:val="000000" w:themeColor="text1"/>
                <w:sz w:val="22"/>
                <w:szCs w:val="22"/>
              </w:rPr>
              <w:t>100 % av totale kostnader pluss margin for fortjeneste (økonomisk aktivitet)</w:t>
            </w:r>
          </w:p>
        </w:tc>
      </w:tr>
      <w:tr w:rsidR="00287CFE" w:rsidRPr="008D5E47" w14:paraId="2D6F85FC" w14:textId="77777777" w:rsidTr="00074688">
        <w:trPr>
          <w:trHeight w:val="1275"/>
        </w:trPr>
        <w:tc>
          <w:tcPr>
            <w:tcW w:w="2830" w:type="dxa"/>
          </w:tcPr>
          <w:p w14:paraId="65D0C657" w14:textId="77777777" w:rsidR="00287CFE" w:rsidRPr="00881966" w:rsidRDefault="00287CFE">
            <w:pPr>
              <w:pStyle w:val="Listeavsnitt"/>
              <w:numPr>
                <w:ilvl w:val="0"/>
                <w:numId w:val="47"/>
              </w:numPr>
            </w:pPr>
            <w:r w:rsidRPr="00881966">
              <w:rPr>
                <w:rFonts w:asciiTheme="minorHAnsi" w:eastAsiaTheme="majorEastAsia" w:hAnsiTheme="minorHAnsi" w:cstheme="minorHAnsi"/>
                <w:b/>
                <w:color w:val="000000" w:themeColor="text1"/>
                <w:sz w:val="22"/>
                <w:szCs w:val="22"/>
              </w:rPr>
              <w:t>Studenter som fyller opp ledige plasser på studieprogram eller fag/emner som er oppdragsfinansiert</w:t>
            </w:r>
          </w:p>
        </w:tc>
        <w:tc>
          <w:tcPr>
            <w:tcW w:w="1276" w:type="dxa"/>
          </w:tcPr>
          <w:p w14:paraId="1555F437" w14:textId="77777777" w:rsidR="00287CFE" w:rsidRPr="008D5E47" w:rsidRDefault="00287CFE" w:rsidP="00D94A5F">
            <w:pPr>
              <w:jc w:val="center"/>
              <w:rPr>
                <w:rFonts w:asciiTheme="minorHAnsi" w:eastAsiaTheme="majorEastAsia" w:hAnsiTheme="minorHAnsi" w:cstheme="minorHAnsi"/>
                <w:color w:val="000000" w:themeColor="text1"/>
                <w:sz w:val="22"/>
                <w:szCs w:val="22"/>
              </w:rPr>
            </w:pPr>
          </w:p>
        </w:tc>
        <w:tc>
          <w:tcPr>
            <w:tcW w:w="1418" w:type="dxa"/>
          </w:tcPr>
          <w:p w14:paraId="1D869815" w14:textId="77777777" w:rsidR="00287CFE" w:rsidRPr="008D5E47" w:rsidRDefault="00287CFE">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p w14:paraId="4F8516A6" w14:textId="77777777" w:rsidR="00287CFE" w:rsidRPr="008D5E47" w:rsidRDefault="00287CFE" w:rsidP="00D94A5F">
            <w:pPr>
              <w:jc w:val="center"/>
              <w:rPr>
                <w:rFonts w:asciiTheme="minorHAnsi" w:eastAsiaTheme="majorEastAsia" w:hAnsiTheme="minorHAnsi" w:cstheme="minorHAnsi"/>
                <w:color w:val="000000" w:themeColor="text1"/>
                <w:sz w:val="22"/>
                <w:szCs w:val="22"/>
              </w:rPr>
            </w:pPr>
          </w:p>
        </w:tc>
        <w:tc>
          <w:tcPr>
            <w:tcW w:w="3267" w:type="dxa"/>
          </w:tcPr>
          <w:p w14:paraId="3FC2C0E9" w14:textId="77777777" w:rsidR="00287CFE" w:rsidRPr="00881966" w:rsidRDefault="00287CFE">
            <w:r w:rsidRPr="00881966">
              <w:rPr>
                <w:rFonts w:asciiTheme="minorHAnsi" w:eastAsiaTheme="majorEastAsia" w:hAnsiTheme="minorHAnsi" w:cstheme="minorHAnsi"/>
                <w:color w:val="000000" w:themeColor="text1"/>
                <w:sz w:val="22"/>
                <w:szCs w:val="22"/>
              </w:rPr>
              <w:t>100 % av totale kostnader pluss margin for fortjeneste</w:t>
            </w:r>
          </w:p>
        </w:tc>
      </w:tr>
    </w:tbl>
    <w:p w14:paraId="2A73D822" w14:textId="77777777" w:rsidR="00287CFE" w:rsidRPr="008D5E47" w:rsidRDefault="00287CFE" w:rsidP="00287CFE">
      <w:pPr>
        <w:rPr>
          <w:rFonts w:asciiTheme="minorHAnsi" w:eastAsiaTheme="majorEastAsia" w:hAnsiTheme="minorHAnsi" w:cstheme="minorHAnsi"/>
          <w:color w:val="000000" w:themeColor="text1"/>
          <w:sz w:val="22"/>
          <w:szCs w:val="22"/>
        </w:rPr>
      </w:pPr>
    </w:p>
    <w:p w14:paraId="3937640C" w14:textId="77777777" w:rsidR="00287CFE" w:rsidRPr="00881966" w:rsidRDefault="00287CFE">
      <w:r w:rsidRPr="00881966">
        <w:rPr>
          <w:rFonts w:asciiTheme="minorHAnsi" w:eastAsiaTheme="majorEastAsia" w:hAnsiTheme="minorHAnsi" w:cstheme="minorHAnsi"/>
          <w:color w:val="000000" w:themeColor="text1"/>
          <w:sz w:val="22"/>
          <w:szCs w:val="22"/>
        </w:rPr>
        <w:t xml:space="preserve">Unntak a og d vil </w:t>
      </w:r>
      <w:r w:rsidRPr="00881966">
        <w:rPr>
          <w:rFonts w:asciiTheme="minorHAnsi" w:eastAsiaTheme="majorEastAsia" w:hAnsiTheme="minorHAnsi" w:cstheme="minorHAnsi"/>
          <w:i/>
          <w:color w:val="000000" w:themeColor="text1"/>
          <w:sz w:val="22"/>
          <w:szCs w:val="22"/>
        </w:rPr>
        <w:t>alltid</w:t>
      </w:r>
      <w:r w:rsidRPr="00881966">
        <w:rPr>
          <w:rFonts w:asciiTheme="minorHAnsi" w:eastAsiaTheme="majorEastAsia" w:hAnsiTheme="minorHAnsi" w:cstheme="minorHAnsi"/>
          <w:color w:val="000000" w:themeColor="text1"/>
          <w:sz w:val="22"/>
          <w:szCs w:val="22"/>
        </w:rPr>
        <w:t xml:space="preserve"> være økonomisk aktivitet. For unntak b og c kan institusjonene selv velge å klassifisere aktiviteten som økonomisk aktivitet eller ikke-økonomisk aktivitet. Grensene for egenbetaling avhenger av klassifisering som vist i tabellen.</w:t>
      </w:r>
    </w:p>
    <w:bookmarkEnd w:id="2"/>
    <w:p w14:paraId="1D05F614" w14:textId="77777777" w:rsidR="00287CFE" w:rsidRPr="00881966" w:rsidRDefault="00287CFE">
      <w:r w:rsidRPr="00C75C7E">
        <w:rPr>
          <w:rFonts w:asciiTheme="minorHAnsi" w:eastAsiaTheme="minorEastAsia" w:hAnsiTheme="minorHAnsi" w:cstheme="minorBidi"/>
          <w:color w:val="000000" w:themeColor="text1"/>
          <w:sz w:val="22"/>
          <w:szCs w:val="22"/>
        </w:rPr>
        <w:t xml:space="preserve">Merk at unntak b: </w:t>
      </w:r>
      <w:r w:rsidRPr="00C75C7E">
        <w:rPr>
          <w:rFonts w:asciiTheme="minorHAnsi" w:eastAsiaTheme="minorEastAsia" w:hAnsiTheme="minorHAnsi" w:cstheme="minorBidi"/>
          <w:i/>
          <w:iCs/>
          <w:color w:val="000000" w:themeColor="text1"/>
          <w:sz w:val="22"/>
          <w:szCs w:val="22"/>
        </w:rPr>
        <w:t>fag/emner som normalt ikke er en del av studieprogram som fører fram til grad eller yrkesutdanning</w:t>
      </w:r>
      <w:r w:rsidRPr="00C75C7E">
        <w:rPr>
          <w:rFonts w:asciiTheme="minorHAnsi" w:eastAsiaTheme="minorEastAsia" w:hAnsiTheme="minorHAnsi" w:cstheme="minorBidi"/>
          <w:color w:val="000000" w:themeColor="text1"/>
          <w:sz w:val="22"/>
          <w:szCs w:val="22"/>
        </w:rPr>
        <w:t xml:space="preserve">, skal tolkes </w:t>
      </w:r>
      <w:r w:rsidRPr="00C75C7E">
        <w:rPr>
          <w:rFonts w:asciiTheme="minorHAnsi" w:eastAsiaTheme="minorEastAsia" w:hAnsiTheme="minorHAnsi" w:cstheme="minorBidi"/>
          <w:i/>
          <w:iCs/>
          <w:color w:val="000000" w:themeColor="text1"/>
          <w:sz w:val="22"/>
          <w:szCs w:val="22"/>
        </w:rPr>
        <w:t>snevert</w:t>
      </w:r>
      <w:r w:rsidRPr="00C75C7E">
        <w:rPr>
          <w:rFonts w:asciiTheme="minorHAnsi" w:eastAsiaTheme="minorEastAsia" w:hAnsiTheme="minorHAnsi" w:cstheme="minorBidi"/>
          <w:color w:val="000000" w:themeColor="text1"/>
          <w:sz w:val="22"/>
          <w:szCs w:val="22"/>
        </w:rPr>
        <w:t xml:space="preserve">. I høringsbrevet til egenbetalingsforskriften skriver KD: </w:t>
      </w:r>
      <w:r w:rsidRPr="00C75C7E">
        <w:rPr>
          <w:rFonts w:asciiTheme="minorHAnsi" w:eastAsiaTheme="minorEastAsia" w:hAnsiTheme="minorHAnsi" w:cstheme="minorBidi"/>
          <w:i/>
          <w:iCs/>
          <w:sz w:val="22"/>
          <w:szCs w:val="22"/>
        </w:rPr>
        <w:t xml:space="preserve">«Institusjonene kan ikke omgå begrensningene i forskriftens § 3-1 ved å dele opp studieprogrammer som normalt fører fram til en grad eller yrkesutdanning for å kunne tilby de som egenbetalingsstudier. </w:t>
      </w:r>
    </w:p>
    <w:p w14:paraId="6D5964BF" w14:textId="082A14C2" w:rsidR="00D626F4" w:rsidRPr="0092769A" w:rsidRDefault="28257F58">
      <w:pPr>
        <w:rPr>
          <w:rFonts w:asciiTheme="minorHAnsi" w:eastAsiaTheme="minorEastAsia" w:hAnsiTheme="minorHAnsi" w:cstheme="minorBidi"/>
          <w:color w:val="000000" w:themeColor="text1"/>
          <w:sz w:val="22"/>
          <w:szCs w:val="22"/>
        </w:rPr>
      </w:pPr>
      <w:r w:rsidRPr="46D54BE2">
        <w:rPr>
          <w:rFonts w:asciiTheme="minorHAnsi" w:eastAsiaTheme="minorEastAsia" w:hAnsiTheme="minorHAnsi" w:cstheme="minorBidi"/>
          <w:color w:val="000000" w:themeColor="text1"/>
          <w:sz w:val="22"/>
          <w:szCs w:val="22"/>
        </w:rPr>
        <w:lastRenderedPageBreak/>
        <w:t xml:space="preserve">Unntak b kan kun omfatte fag/emner som er vesentlig forskjellig fra tilbud som tilbys gratis innenfor rammebevilgningen. Det er derfor ikke tilstrekkelig å tilrettelegge fag/emner for andre målgrupper eller å gjøre utdanningen nettbasert så lenge fag/emnet kan føre frem til, eller inngå, i en grad. Hvis det reklameres for at et fag/emne </w:t>
      </w:r>
      <w:r w:rsidRPr="46D54BE2">
        <w:rPr>
          <w:rFonts w:asciiTheme="minorHAnsi" w:eastAsiaTheme="minorEastAsia" w:hAnsiTheme="minorHAnsi" w:cstheme="minorBidi"/>
          <w:i/>
          <w:iCs/>
          <w:color w:val="000000" w:themeColor="text1"/>
          <w:sz w:val="22"/>
          <w:szCs w:val="22"/>
        </w:rPr>
        <w:t>kan</w:t>
      </w:r>
      <w:r w:rsidRPr="46D54BE2">
        <w:rPr>
          <w:rFonts w:asciiTheme="minorHAnsi" w:eastAsiaTheme="minorEastAsia" w:hAnsiTheme="minorHAnsi" w:cstheme="minorBidi"/>
          <w:color w:val="000000" w:themeColor="text1"/>
          <w:sz w:val="22"/>
          <w:szCs w:val="22"/>
        </w:rPr>
        <w:t xml:space="preserve"> innpasses i en grad senere, er det grunn til å tro at dette fag/emnet faller utenfor intensjonen i unntaket. Hver institusjon må bære ansvaret for sin tolkning av </w:t>
      </w:r>
      <w:r w:rsidRPr="0092769A">
        <w:rPr>
          <w:rFonts w:asciiTheme="minorHAnsi" w:eastAsiaTheme="minorEastAsia" w:hAnsiTheme="minorHAnsi" w:cstheme="minorBidi"/>
          <w:color w:val="000000" w:themeColor="text1"/>
          <w:sz w:val="22"/>
          <w:szCs w:val="22"/>
        </w:rPr>
        <w:t>unntaket.</w:t>
      </w:r>
    </w:p>
    <w:p w14:paraId="57DE4473" w14:textId="77777777" w:rsidR="00645B40" w:rsidRPr="0092769A" w:rsidRDefault="00645B40" w:rsidP="001540E4">
      <w:pPr>
        <w:rPr>
          <w:rFonts w:asciiTheme="minorHAnsi" w:eastAsiaTheme="minorEastAsia" w:hAnsiTheme="minorHAnsi" w:cstheme="minorBidi"/>
          <w:i/>
          <w:sz w:val="22"/>
          <w:szCs w:val="22"/>
        </w:rPr>
      </w:pPr>
      <w:r w:rsidRPr="0092769A">
        <w:rPr>
          <w:rFonts w:asciiTheme="minorHAnsi" w:eastAsiaTheme="minorEastAsia" w:hAnsiTheme="minorHAnsi" w:cstheme="minorBidi"/>
          <w:i/>
          <w:sz w:val="22"/>
          <w:szCs w:val="22"/>
        </w:rPr>
        <w:t>Hva bør institusjonene gjøre som følge av dette arbeidet?</w:t>
      </w:r>
    </w:p>
    <w:p w14:paraId="04F4D84E" w14:textId="77777777" w:rsidR="00645B40" w:rsidRPr="0092769A" w:rsidRDefault="00645B40" w:rsidP="00645B40">
      <w:pPr>
        <w:pStyle w:val="Listeavsnitt"/>
        <w:numPr>
          <w:ilvl w:val="0"/>
          <w:numId w:val="51"/>
        </w:numPr>
        <w:rPr>
          <w:rFonts w:asciiTheme="minorHAnsi" w:eastAsiaTheme="minorEastAsia" w:hAnsiTheme="minorHAnsi" w:cstheme="minorBidi"/>
          <w:sz w:val="22"/>
          <w:szCs w:val="22"/>
        </w:rPr>
      </w:pPr>
      <w:r w:rsidRPr="0092769A">
        <w:rPr>
          <w:rFonts w:asciiTheme="minorHAnsi" w:eastAsiaTheme="minorEastAsia" w:hAnsiTheme="minorHAnsi" w:cstheme="minorBidi"/>
          <w:sz w:val="22"/>
          <w:szCs w:val="22"/>
        </w:rPr>
        <w:t>Vurdere om tilbudene som det tas egenbetaling for, er innenfor unntakene i egenbetalingsforskriften (a-d). Unntak b bør vurderes spesielt.</w:t>
      </w:r>
    </w:p>
    <w:p w14:paraId="401AEAB9" w14:textId="77777777" w:rsidR="00645B40" w:rsidRPr="0092769A" w:rsidRDefault="00645B40" w:rsidP="00645B40">
      <w:pPr>
        <w:pStyle w:val="Listeavsnitt"/>
        <w:numPr>
          <w:ilvl w:val="0"/>
          <w:numId w:val="51"/>
        </w:numPr>
        <w:rPr>
          <w:rFonts w:asciiTheme="minorHAnsi" w:eastAsiaTheme="minorEastAsia" w:hAnsiTheme="minorHAnsi" w:cstheme="minorBidi"/>
          <w:sz w:val="22"/>
          <w:szCs w:val="22"/>
        </w:rPr>
      </w:pPr>
      <w:r w:rsidRPr="0092769A">
        <w:rPr>
          <w:rFonts w:asciiTheme="minorHAnsi" w:eastAsiaTheme="minorEastAsia" w:hAnsiTheme="minorHAnsi" w:cstheme="minorBidi"/>
          <w:sz w:val="22"/>
          <w:szCs w:val="22"/>
        </w:rPr>
        <w:t>Vurdere om tilbudene er økonomisk eller ikke-økonomisk aktivitet for å sikre riktig prisberegning.</w:t>
      </w:r>
    </w:p>
    <w:p w14:paraId="63AB927F" w14:textId="2ECE197B" w:rsidR="00645B40" w:rsidRPr="0092769A" w:rsidRDefault="00645B40" w:rsidP="00645B40">
      <w:pPr>
        <w:pStyle w:val="Listeavsnitt"/>
        <w:numPr>
          <w:ilvl w:val="0"/>
          <w:numId w:val="51"/>
        </w:numPr>
        <w:rPr>
          <w:rFonts w:asciiTheme="minorHAnsi" w:eastAsiaTheme="minorEastAsia" w:hAnsiTheme="minorHAnsi" w:cstheme="minorBidi"/>
          <w:sz w:val="22"/>
          <w:szCs w:val="22"/>
        </w:rPr>
      </w:pPr>
      <w:r w:rsidRPr="0092769A">
        <w:rPr>
          <w:rFonts w:asciiTheme="minorHAnsi" w:eastAsiaTheme="minorEastAsia" w:hAnsiTheme="minorHAnsi" w:cstheme="minorBidi"/>
          <w:sz w:val="22"/>
          <w:szCs w:val="22"/>
        </w:rPr>
        <w:t xml:space="preserve">Sikre at egenbetalingen </w:t>
      </w:r>
      <w:r w:rsidR="00D9733C" w:rsidRPr="0092769A">
        <w:rPr>
          <w:rFonts w:asciiTheme="minorHAnsi" w:eastAsiaTheme="minorEastAsia" w:hAnsiTheme="minorHAnsi" w:cstheme="minorBidi"/>
          <w:sz w:val="22"/>
          <w:szCs w:val="22"/>
        </w:rPr>
        <w:t>er inntil</w:t>
      </w:r>
      <w:r w:rsidRPr="0092769A">
        <w:rPr>
          <w:rFonts w:asciiTheme="minorHAnsi" w:eastAsiaTheme="minorEastAsia" w:hAnsiTheme="minorHAnsi" w:cstheme="minorBidi"/>
          <w:sz w:val="22"/>
          <w:szCs w:val="22"/>
        </w:rPr>
        <w:t xml:space="preserve"> 49 % av kostnadene for ikke-økonomisk aktivitet (dvs. at egenfinansiering må være minst 51 %)</w:t>
      </w:r>
      <w:r w:rsidR="00D626F4" w:rsidRPr="0092769A">
        <w:rPr>
          <w:rFonts w:asciiTheme="minorHAnsi" w:eastAsiaTheme="minorEastAsia" w:hAnsiTheme="minorHAnsi" w:cstheme="minorBidi"/>
          <w:sz w:val="22"/>
          <w:szCs w:val="22"/>
        </w:rPr>
        <w:t>.</w:t>
      </w:r>
    </w:p>
    <w:p w14:paraId="4820036E" w14:textId="77777777" w:rsidR="00645B40" w:rsidRPr="0092769A" w:rsidRDefault="00645B40" w:rsidP="00645B40">
      <w:pPr>
        <w:pStyle w:val="Listeavsnitt"/>
        <w:numPr>
          <w:ilvl w:val="0"/>
          <w:numId w:val="51"/>
        </w:numPr>
        <w:rPr>
          <w:rFonts w:asciiTheme="minorHAnsi" w:eastAsiaTheme="minorEastAsia" w:hAnsiTheme="minorHAnsi" w:cstheme="minorBidi"/>
          <w:sz w:val="22"/>
          <w:szCs w:val="22"/>
        </w:rPr>
      </w:pPr>
      <w:r w:rsidRPr="0092769A">
        <w:rPr>
          <w:rFonts w:asciiTheme="minorHAnsi" w:eastAsiaTheme="minorEastAsia" w:hAnsiTheme="minorHAnsi" w:cstheme="minorBidi"/>
          <w:sz w:val="22"/>
          <w:szCs w:val="22"/>
        </w:rPr>
        <w:t>Sikre at egenbetalingen for tilbud som er oppgitt å være 100 % eksternfinansiert (dvs.  økonomisk aktivitet), faktisk dekker 100 % av kostnadene pluss fortjeneste.</w:t>
      </w:r>
    </w:p>
    <w:p w14:paraId="71813546" w14:textId="092961EE" w:rsidR="00645B40" w:rsidRPr="0092769A" w:rsidRDefault="00645B40">
      <w:pPr>
        <w:rPr>
          <w:rFonts w:asciiTheme="minorHAnsi" w:eastAsiaTheme="minorEastAsia" w:hAnsiTheme="minorHAnsi" w:cstheme="minorBidi"/>
          <w:i/>
          <w:color w:val="000000" w:themeColor="text1"/>
          <w:sz w:val="22"/>
          <w:szCs w:val="22"/>
        </w:rPr>
      </w:pPr>
      <w:r w:rsidRPr="0092769A">
        <w:rPr>
          <w:rFonts w:asciiTheme="minorHAnsi" w:eastAsiaTheme="minorEastAsia" w:hAnsiTheme="minorHAnsi" w:cstheme="minorBidi"/>
          <w:i/>
          <w:color w:val="000000" w:themeColor="text1"/>
          <w:sz w:val="22"/>
          <w:szCs w:val="22"/>
        </w:rPr>
        <w:t>Innspill til andre utvalg</w:t>
      </w:r>
    </w:p>
    <w:p w14:paraId="1FC66D08" w14:textId="5C48D787" w:rsidR="001659CF" w:rsidRPr="001659CF" w:rsidRDefault="001659CF">
      <w:pPr>
        <w:rPr>
          <w:rFonts w:asciiTheme="minorHAnsi" w:eastAsiaTheme="minorEastAsia" w:hAnsiTheme="minorHAnsi" w:cstheme="minorBidi"/>
          <w:color w:val="000000" w:themeColor="text1"/>
          <w:sz w:val="22"/>
          <w:szCs w:val="22"/>
        </w:rPr>
      </w:pPr>
      <w:r w:rsidRPr="0092769A">
        <w:rPr>
          <w:rFonts w:asciiTheme="minorHAnsi" w:eastAsiaTheme="minorEastAsia" w:hAnsiTheme="minorHAnsi" w:cstheme="minorBidi"/>
          <w:color w:val="000000" w:themeColor="text1"/>
          <w:sz w:val="22"/>
          <w:szCs w:val="22"/>
        </w:rPr>
        <w:t>Arbeidsgruppen vil anbefale at både det kommende lovutvalget som nedsettes til å se på UH-loven, og det regjeringsoppnevnte ekspertutvalget som skal gi innspill til reformen «Lære hele livet», vurderer om rammebetingelsene er tilstrekkelig klart utformet ut fra dagens behov og om de fremmer eller hemmer ønsket om økt EVU-aktivitet. UHR bør benyttes som en pådriver i dette arbeidet.</w:t>
      </w:r>
      <w:r w:rsidRPr="262002DF">
        <w:rPr>
          <w:rFonts w:asciiTheme="minorHAnsi" w:eastAsiaTheme="minorEastAsia" w:hAnsiTheme="minorHAnsi" w:cstheme="minorBidi"/>
          <w:color w:val="000000" w:themeColor="text1"/>
          <w:sz w:val="22"/>
          <w:szCs w:val="22"/>
        </w:rPr>
        <w:t xml:space="preserve"> </w:t>
      </w:r>
    </w:p>
    <w:p w14:paraId="2C893F53" w14:textId="323C7C1F" w:rsidR="00C42012" w:rsidRDefault="00C42012" w:rsidP="7625745A">
      <w:pPr>
        <w:spacing w:after="160" w:afterAutospacing="0" w:line="259" w:lineRule="auto"/>
        <w:rPr>
          <w:b/>
          <w:bCs/>
          <w:smallCaps/>
          <w:sz w:val="40"/>
          <w:szCs w:val="40"/>
        </w:rPr>
      </w:pPr>
    </w:p>
    <w:p w14:paraId="284F16BD" w14:textId="1CBA4520" w:rsidR="00B027AF" w:rsidRPr="004D13A9" w:rsidRDefault="00B027AF" w:rsidP="005D6BB5">
      <w:pPr>
        <w:pStyle w:val="Overskrift2"/>
      </w:pPr>
      <w:bookmarkStart w:id="3" w:name="_Toc516731414"/>
      <w:r w:rsidRPr="004D13A9">
        <w:t>Leseveiledning</w:t>
      </w:r>
      <w:bookmarkEnd w:id="3"/>
    </w:p>
    <w:p w14:paraId="7D28245A" w14:textId="77777777" w:rsidR="00927C24" w:rsidRDefault="00B027AF" w:rsidP="00B027AF">
      <w:r>
        <w:t>Kapittel 1</w:t>
      </w:r>
      <w:r w:rsidR="00720671">
        <w:t xml:space="preserve"> beskriver</w:t>
      </w:r>
      <w:r>
        <w:t xml:space="preserve"> bakgrunn for arbeidet og mandat for arbeidsgruppen.</w:t>
      </w:r>
      <w:r w:rsidR="009F2D0D">
        <w:t xml:space="preserve"> </w:t>
      </w:r>
      <w:r w:rsidR="00720671">
        <w:t xml:space="preserve">I kapittel 2 defineres </w:t>
      </w:r>
      <w:r>
        <w:t xml:space="preserve">sentrale begreper som benyttes i denne rapporten. Kapittel 3 omhandler kostnadsberegning for EVU og beregning av egenfinansiering. Kapittel 4 omhandler lover og regler. </w:t>
      </w:r>
      <w:r w:rsidR="00112FB8">
        <w:t>Dette k</w:t>
      </w:r>
      <w:r>
        <w:t xml:space="preserve">apittelet samsvarer med notatet som ble sendt fra UHR til KD i april 2018. Avsnitt 4.1 inneholder </w:t>
      </w:r>
      <w:r w:rsidRPr="00671691">
        <w:t>arbeidsgruppens forståelse av de ulike regelverkene</w:t>
      </w:r>
      <w:r>
        <w:t xml:space="preserve"> og avsnitt </w:t>
      </w:r>
      <w:r w:rsidRPr="00671691">
        <w:t xml:space="preserve">4.2 </w:t>
      </w:r>
      <w:r>
        <w:t xml:space="preserve">inneholder </w:t>
      </w:r>
      <w:r w:rsidRPr="00671691">
        <w:t xml:space="preserve">spørsmål til egenbetalingsforskriften, </w:t>
      </w:r>
      <w:r>
        <w:t>og</w:t>
      </w:r>
      <w:r w:rsidRPr="00671691">
        <w:t xml:space="preserve"> forslag til hvordan regelverket kan presiseres i forskriften og i merknaden til de ulike bestemmelsene. </w:t>
      </w:r>
    </w:p>
    <w:p w14:paraId="08078CC8" w14:textId="32A08927" w:rsidR="00B027AF" w:rsidRDefault="00112FB8" w:rsidP="00B027AF">
      <w:r>
        <w:t>I k</w:t>
      </w:r>
      <w:r w:rsidR="00B027AF">
        <w:t xml:space="preserve">apittel </w:t>
      </w:r>
      <w:r w:rsidR="009135AF">
        <w:t>5</w:t>
      </w:r>
      <w:r w:rsidR="00B027AF">
        <w:t xml:space="preserve"> </w:t>
      </w:r>
      <w:r w:rsidR="009671B6">
        <w:t>følger</w:t>
      </w:r>
      <w:r w:rsidR="00B027AF">
        <w:t xml:space="preserve"> analyser og vurderinger av dagens praksis med egenfinansiering av EVU i sektore</w:t>
      </w:r>
      <w:r w:rsidR="009671B6">
        <w:t xml:space="preserve">n. </w:t>
      </w:r>
      <w:r w:rsidR="009B3223">
        <w:t>K</w:t>
      </w:r>
      <w:r w:rsidR="009135AF">
        <w:t>apittel 6</w:t>
      </w:r>
      <w:r w:rsidR="00903236">
        <w:t xml:space="preserve"> </w:t>
      </w:r>
      <w:r w:rsidR="00263A0A">
        <w:t xml:space="preserve">inneholder arbeidsgruppens fortolkning av egenbetalingsforskriften og kapittel 7 </w:t>
      </w:r>
      <w:r w:rsidR="00E0198B">
        <w:t>inneholder</w:t>
      </w:r>
      <w:r w:rsidR="00263A0A">
        <w:t xml:space="preserve"> forslag til v</w:t>
      </w:r>
      <w:r w:rsidR="00263A0A" w:rsidRPr="00263A0A">
        <w:t>eiledende retningslinjer for finansiering av EVU</w:t>
      </w:r>
      <w:r w:rsidR="00E0198B">
        <w:t>.</w:t>
      </w:r>
      <w:r w:rsidR="00831884" w:rsidRPr="00831884">
        <w:t xml:space="preserve"> </w:t>
      </w:r>
      <w:r w:rsidR="00831884">
        <w:t>Kapittel 8 inneholder a</w:t>
      </w:r>
      <w:r w:rsidR="00831884" w:rsidRPr="00831884">
        <w:t>nbefalinger for videre arbeid</w:t>
      </w:r>
      <w:r w:rsidR="00831884">
        <w:t>.</w:t>
      </w:r>
    </w:p>
    <w:p w14:paraId="24B08057" w14:textId="5F3FE85D" w:rsidR="00957A61" w:rsidRDefault="00957A61" w:rsidP="00B027AF">
      <w:r>
        <w:t xml:space="preserve">Vedlegg 1 inneholder et case </w:t>
      </w:r>
      <w:r w:rsidR="00B114A5">
        <w:t>som viser inntekter med ulik egenfinansieringsprosent</w:t>
      </w:r>
      <w:r w:rsidR="002A2082">
        <w:t xml:space="preserve">. </w:t>
      </w:r>
    </w:p>
    <w:p w14:paraId="22385F7A" w14:textId="025A3916" w:rsidR="00957A61" w:rsidRPr="009F2D0D" w:rsidRDefault="00957A61" w:rsidP="00B027AF">
      <w:r>
        <w:t>En ordliste ligger til slutt i rapporten.</w:t>
      </w:r>
    </w:p>
    <w:p w14:paraId="67B384F0" w14:textId="77777777" w:rsidR="00F22A34" w:rsidRDefault="61515D21" w:rsidP="009639BA">
      <w:pPr>
        <w:pStyle w:val="Overskrift2"/>
        <w:numPr>
          <w:ilvl w:val="0"/>
          <w:numId w:val="23"/>
        </w:numPr>
      </w:pPr>
      <w:bookmarkStart w:id="4" w:name="_Toc516731415"/>
      <w:r>
        <w:lastRenderedPageBreak/>
        <w:t>Innledning</w:t>
      </w:r>
      <w:bookmarkEnd w:id="4"/>
      <w:r>
        <w:t xml:space="preserve"> </w:t>
      </w:r>
    </w:p>
    <w:p w14:paraId="6CFFDF2D" w14:textId="77777777" w:rsidR="00C11AD8" w:rsidRPr="00C42012" w:rsidRDefault="61515D21" w:rsidP="61515D21">
      <w:pPr>
        <w:pStyle w:val="Overskrift3"/>
        <w:rPr>
          <w:rStyle w:val="Overskrift2Tegn"/>
          <w:b/>
          <w:bCs/>
          <w:sz w:val="24"/>
          <w:szCs w:val="24"/>
        </w:rPr>
      </w:pPr>
      <w:bookmarkStart w:id="5" w:name="_Toc516731416"/>
      <w:r w:rsidRPr="61515D21">
        <w:rPr>
          <w:rStyle w:val="Overskrift2Tegn"/>
          <w:b/>
          <w:bCs/>
          <w:sz w:val="24"/>
          <w:szCs w:val="24"/>
        </w:rPr>
        <w:t>1.1 Bakgrunn</w:t>
      </w:r>
      <w:bookmarkEnd w:id="5"/>
    </w:p>
    <w:p w14:paraId="2F21A215" w14:textId="78EAB6D9" w:rsidR="005F5AB4" w:rsidRDefault="00C4792A" w:rsidP="009128F4">
      <w:pPr>
        <w:rPr>
          <w:rFonts w:eastAsiaTheme="minorEastAsia" w:cstheme="minorBidi"/>
          <w:lang w:eastAsia="en-US"/>
        </w:rPr>
      </w:pPr>
      <w:r w:rsidRPr="2702926F">
        <w:rPr>
          <w:rFonts w:eastAsiaTheme="minorEastAsia" w:cstheme="minorBidi"/>
          <w:lang w:eastAsia="en-US"/>
        </w:rPr>
        <w:t>Politiske signaler gitt i Meld. St. 16 2016/17 tilsier et økt satsing på livslang læring i årene framover. I omtalen av regjeringens prioriteringer og forventninger i Kunnskaps</w:t>
      </w:r>
      <w:r w:rsidR="003E7FC9">
        <w:rPr>
          <w:rFonts w:eastAsiaTheme="minorEastAsia" w:cstheme="minorBidi"/>
          <w:lang w:eastAsia="en-US"/>
        </w:rPr>
        <w:t>-</w:t>
      </w:r>
      <w:r w:rsidRPr="2702926F">
        <w:rPr>
          <w:rFonts w:eastAsiaTheme="minorEastAsia" w:cstheme="minorBidi"/>
          <w:lang w:eastAsia="en-US"/>
        </w:rPr>
        <w:t>departementets tildelingsbrev for 2018 løftes bl.a. livslang læring og dimensjonering av studietilbud fram som områder som vil ha særlig oppmerksomhet framover</w:t>
      </w:r>
      <w:r w:rsidR="007F57C2">
        <w:rPr>
          <w:rFonts w:eastAsiaTheme="minorEastAsia" w:cstheme="minorBidi"/>
          <w:lang w:eastAsia="en-US"/>
        </w:rPr>
        <w:t>.</w:t>
      </w:r>
      <w:r w:rsidR="007F57C2" w:rsidRPr="007F57C2">
        <w:rPr>
          <w:rFonts w:eastAsiaTheme="minorEastAsia" w:cstheme="minorBidi"/>
          <w:lang w:eastAsia="en-US"/>
        </w:rPr>
        <w:t xml:space="preserve"> Livslang læring er viktig for å legge til rette for nødvendig omstilling og fornying for den enkelte og for samfunns- og arbeidsliv.</w:t>
      </w:r>
      <w:r w:rsidRPr="2702926F">
        <w:rPr>
          <w:rFonts w:eastAsiaTheme="minorEastAsia" w:cstheme="minorBidi"/>
          <w:lang w:eastAsia="en-US"/>
        </w:rPr>
        <w:t xml:space="preserve"> Kunnskapsdepartementet (KD) peker i tildelingsbrevet på at universiteter og høyskoler er underutnyttet som bidragsytere til etter- og videreutdanning</w:t>
      </w:r>
      <w:r w:rsidR="005B1E6B">
        <w:rPr>
          <w:rFonts w:eastAsiaTheme="minorEastAsia" w:cstheme="minorBidi"/>
          <w:lang w:eastAsia="en-US"/>
        </w:rPr>
        <w:t xml:space="preserve"> (EVU)</w:t>
      </w:r>
      <w:r w:rsidR="005F5AB4">
        <w:rPr>
          <w:rFonts w:eastAsiaTheme="minorEastAsia" w:cstheme="minorBidi"/>
          <w:lang w:eastAsia="en-US"/>
        </w:rPr>
        <w:t>.</w:t>
      </w:r>
      <w:r w:rsidR="007F57C2" w:rsidRPr="007F57C2">
        <w:t xml:space="preserve"> </w:t>
      </w:r>
    </w:p>
    <w:p w14:paraId="3853C649" w14:textId="06762681" w:rsidR="00294645" w:rsidRPr="009128F4" w:rsidRDefault="00294645" w:rsidP="009128F4">
      <w:pPr>
        <w:rPr>
          <w:rFonts w:eastAsiaTheme="minorEastAsia" w:cstheme="minorBidi"/>
          <w:lang w:eastAsia="en-US"/>
        </w:rPr>
      </w:pPr>
      <w:proofErr w:type="spellStart"/>
      <w:r>
        <w:rPr>
          <w:rFonts w:eastAsiaTheme="minorEastAsia" w:cstheme="minorBidi"/>
          <w:lang w:eastAsia="en-US"/>
        </w:rPr>
        <w:t>UHR</w:t>
      </w:r>
      <w:r w:rsidR="00507B2E">
        <w:rPr>
          <w:rFonts w:eastAsiaTheme="minorEastAsia" w:cstheme="minorBidi"/>
          <w:lang w:eastAsia="en-US"/>
        </w:rPr>
        <w:t>s</w:t>
      </w:r>
      <w:proofErr w:type="spellEnd"/>
      <w:r w:rsidR="00507B2E">
        <w:rPr>
          <w:rFonts w:eastAsiaTheme="minorEastAsia" w:cstheme="minorBidi"/>
          <w:lang w:eastAsia="en-US"/>
        </w:rPr>
        <w:t xml:space="preserve"> økonomiutvalg</w:t>
      </w:r>
      <w:r>
        <w:rPr>
          <w:rFonts w:eastAsiaTheme="minorEastAsia" w:cstheme="minorBidi"/>
          <w:lang w:eastAsia="en-US"/>
        </w:rPr>
        <w:t xml:space="preserve"> nedsatte i 2016 en arbeidsgruppe for å utrede en totalkostnadsmodell for</w:t>
      </w:r>
      <w:r w:rsidR="00531857">
        <w:rPr>
          <w:rFonts w:eastAsiaTheme="minorEastAsia" w:cstheme="minorBidi"/>
          <w:lang w:eastAsia="en-US"/>
        </w:rPr>
        <w:t xml:space="preserve"> </w:t>
      </w:r>
      <w:r>
        <w:rPr>
          <w:rFonts w:eastAsiaTheme="minorEastAsia" w:cstheme="minorBidi"/>
          <w:lang w:eastAsia="en-US"/>
        </w:rPr>
        <w:t>EVU</w:t>
      </w:r>
      <w:r w:rsidR="00EB4F47">
        <w:rPr>
          <w:rFonts w:eastAsiaTheme="minorEastAsia" w:cstheme="minorBidi"/>
          <w:lang w:eastAsia="en-US"/>
        </w:rPr>
        <w:t xml:space="preserve"> </w:t>
      </w:r>
      <w:r>
        <w:rPr>
          <w:rFonts w:eastAsiaTheme="minorEastAsia" w:cstheme="minorBidi"/>
          <w:lang w:eastAsia="en-US"/>
        </w:rPr>
        <w:t>(TDI</w:t>
      </w:r>
      <w:r w:rsidR="003E7FC9">
        <w:rPr>
          <w:rFonts w:eastAsiaTheme="minorEastAsia" w:cstheme="minorBidi"/>
          <w:lang w:eastAsia="en-US"/>
        </w:rPr>
        <w:t>-</w:t>
      </w:r>
      <w:r>
        <w:rPr>
          <w:rFonts w:eastAsiaTheme="minorEastAsia" w:cstheme="minorBidi"/>
          <w:lang w:eastAsia="en-US"/>
        </w:rPr>
        <w:t xml:space="preserve">modell for utdanning). </w:t>
      </w:r>
      <w:r w:rsidR="009128F4">
        <w:rPr>
          <w:rFonts w:eastAsiaTheme="minorEastAsia" w:cstheme="minorBidi"/>
          <w:lang w:eastAsia="en-US"/>
        </w:rPr>
        <w:t>Mandatet</w:t>
      </w:r>
      <w:r w:rsidR="00ED1535">
        <w:rPr>
          <w:rFonts w:eastAsiaTheme="minorEastAsia" w:cstheme="minorBidi"/>
          <w:lang w:eastAsia="en-US"/>
        </w:rPr>
        <w:t xml:space="preserve"> for TDI-arbeidsgruppen</w:t>
      </w:r>
      <w:r w:rsidR="009128F4">
        <w:rPr>
          <w:rFonts w:eastAsiaTheme="minorEastAsia" w:cstheme="minorBidi"/>
          <w:lang w:eastAsia="en-US"/>
        </w:rPr>
        <w:t xml:space="preserve"> var </w:t>
      </w:r>
      <w:r w:rsidR="009128F4" w:rsidRPr="009128F4">
        <w:rPr>
          <w:rFonts w:eastAsiaTheme="minorEastAsia" w:cstheme="minorBidi"/>
          <w:i/>
          <w:lang w:eastAsia="en-US"/>
        </w:rPr>
        <w:t>å lage en enkel budsjettmodell for etter- og videreutdanning som den enkelte UH-institusjon står fritt til å benytte</w:t>
      </w:r>
      <w:r w:rsidR="009128F4" w:rsidRPr="009128F4">
        <w:rPr>
          <w:rFonts w:eastAsiaTheme="minorEastAsia" w:cstheme="minorBidi"/>
          <w:lang w:eastAsia="en-US"/>
        </w:rPr>
        <w:t>.</w:t>
      </w:r>
      <w:r w:rsidR="009128F4">
        <w:rPr>
          <w:rFonts w:eastAsiaTheme="minorEastAsia" w:cstheme="minorBidi"/>
          <w:lang w:eastAsia="en-US"/>
        </w:rPr>
        <w:t xml:space="preserve"> Underveis i arbeidet hadde </w:t>
      </w:r>
      <w:r w:rsidR="00ED1535">
        <w:rPr>
          <w:rFonts w:eastAsiaTheme="minorEastAsia" w:cstheme="minorBidi"/>
          <w:lang w:eastAsia="en-US"/>
        </w:rPr>
        <w:t>TDI-</w:t>
      </w:r>
      <w:r w:rsidR="009128F4">
        <w:rPr>
          <w:rFonts w:eastAsiaTheme="minorEastAsia" w:cstheme="minorBidi"/>
          <w:lang w:eastAsia="en-US"/>
        </w:rPr>
        <w:t xml:space="preserve">arbeidsgruppen behov for å få avklart </w:t>
      </w:r>
      <w:r w:rsidR="009128F4" w:rsidRPr="009128F4">
        <w:rPr>
          <w:rFonts w:eastAsiaTheme="minorEastAsia" w:cstheme="minorBidi"/>
          <w:lang w:eastAsia="en-US"/>
        </w:rPr>
        <w:t>om det er lovlig for institusjonene å delfinansiere EVU som er klassifisert som salg hvor enkeltstudenter betaler deltakeravgift.</w:t>
      </w:r>
      <w:r w:rsidR="009128F4">
        <w:rPr>
          <w:rFonts w:eastAsiaTheme="minorEastAsia" w:cstheme="minorBidi"/>
          <w:lang w:eastAsia="en-US"/>
        </w:rPr>
        <w:t xml:space="preserve"> UHR sendte brev til Kunnskapsdepartementet. Både spørsmål og svar er gjengitt her:</w:t>
      </w:r>
    </w:p>
    <w:p w14:paraId="00EAC361" w14:textId="77777777" w:rsidR="007F1512" w:rsidRPr="00353250" w:rsidRDefault="7625745A" w:rsidP="7625745A">
      <w:pPr>
        <w:rPr>
          <w:rFonts w:asciiTheme="minorBidi" w:eastAsiaTheme="minorBidi" w:hAnsiTheme="minorBidi" w:cstheme="minorBidi"/>
          <w:u w:val="single"/>
          <w:lang w:eastAsia="en-US"/>
        </w:rPr>
      </w:pPr>
      <w:r w:rsidRPr="7625745A">
        <w:rPr>
          <w:rFonts w:asciiTheme="minorBidi" w:eastAsiaTheme="minorBidi" w:hAnsiTheme="minorBidi" w:cstheme="minorBidi"/>
          <w:u w:val="single"/>
          <w:lang w:eastAsia="en-US"/>
        </w:rPr>
        <w:t>UHR sendte brev til Kunnskapsdepartementet (KD) 20.05.2017:</w:t>
      </w:r>
    </w:p>
    <w:p w14:paraId="49560015" w14:textId="77777777" w:rsidR="007F1512" w:rsidRPr="00353250" w:rsidRDefault="61515D21" w:rsidP="61515D21">
      <w:pPr>
        <w:rPr>
          <w:rFonts w:eastAsiaTheme="minorEastAsia" w:cstheme="minorBidi"/>
          <w:i/>
          <w:iCs/>
          <w:lang w:eastAsia="en-US"/>
        </w:rPr>
      </w:pPr>
      <w:r w:rsidRPr="61515D21">
        <w:rPr>
          <w:rFonts w:eastAsiaTheme="minorEastAsia" w:cstheme="minorBidi"/>
          <w:i/>
          <w:iCs/>
          <w:lang w:eastAsia="en-US"/>
        </w:rPr>
        <w:t>BOA-reglementet tillater institusjonene å delfinansiere EVU-kurs som er klassifisert som bidrag, mens det ikke gir mulighet til å delfinansiere EVU-kurs klassifisert som oppdrag eller salg. Dette kommer som følge av EØS-regelverket som skal hindre ulovlig konkurranse-</w:t>
      </w:r>
      <w:r w:rsidR="00F46C61">
        <w:rPr>
          <w:rFonts w:eastAsiaTheme="minorEastAsia" w:cstheme="minorBidi"/>
          <w:i/>
          <w:iCs/>
          <w:lang w:eastAsia="en-US"/>
        </w:rPr>
        <w:t xml:space="preserve">er- og </w:t>
      </w:r>
      <w:r w:rsidRPr="61515D21">
        <w:rPr>
          <w:rFonts w:eastAsiaTheme="minorEastAsia" w:cstheme="minorBidi"/>
          <w:i/>
          <w:iCs/>
          <w:lang w:eastAsia="en-US"/>
        </w:rPr>
        <w:t>vridende støtte.</w:t>
      </w:r>
    </w:p>
    <w:p w14:paraId="034E070A" w14:textId="77777777" w:rsidR="007F1512" w:rsidRPr="00353250" w:rsidRDefault="61515D21" w:rsidP="61515D21">
      <w:pPr>
        <w:rPr>
          <w:rFonts w:eastAsiaTheme="minorEastAsia" w:cstheme="minorBidi"/>
          <w:i/>
          <w:iCs/>
          <w:lang w:eastAsia="en-US"/>
        </w:rPr>
      </w:pPr>
      <w:r w:rsidRPr="61515D21">
        <w:rPr>
          <w:rFonts w:eastAsiaTheme="minorEastAsia" w:cstheme="minorBidi"/>
          <w:i/>
          <w:iCs/>
          <w:lang w:eastAsia="en-US"/>
        </w:rPr>
        <w:t>Imidlertid gis det i Forskrift om egenbetaling ved universiteter og høyskoler (§ 3-2) en åpning for at statlige institusjoner kan delfinansiere kurs, erfaringsbaserte mastergradsstudier og oppdragsfinansierte studieprogram eller fag/emner med egne midler.</w:t>
      </w:r>
    </w:p>
    <w:p w14:paraId="6370CEAA" w14:textId="77777777" w:rsidR="007F1512" w:rsidRPr="00353250" w:rsidRDefault="61515D21" w:rsidP="61515D21">
      <w:pPr>
        <w:rPr>
          <w:rFonts w:eastAsiaTheme="minorEastAsia" w:cstheme="minorBidi"/>
          <w:i/>
          <w:iCs/>
          <w:lang w:eastAsia="en-US"/>
        </w:rPr>
      </w:pPr>
      <w:r w:rsidRPr="61515D21">
        <w:rPr>
          <w:rFonts w:eastAsiaTheme="minorEastAsia" w:cstheme="minorBidi"/>
          <w:i/>
          <w:iCs/>
          <w:lang w:eastAsia="en-US"/>
        </w:rPr>
        <w:t xml:space="preserve">Forskrift om egenbetaling tillater dermed institusjonene å delfinansiere EVU-kurs som klassifiseres som salg med egne midler, mens BOA-reglementet ikke tillater dette. De to forskriftene ser altså ut til å gi ulik tolkning og vil medføre ulike økonomiske konsekvenser med finansiering av salgskurs. </w:t>
      </w:r>
    </w:p>
    <w:p w14:paraId="79B54D43" w14:textId="77777777" w:rsidR="007F1512" w:rsidRPr="00353250" w:rsidRDefault="61515D21" w:rsidP="61515D21">
      <w:pPr>
        <w:rPr>
          <w:rFonts w:eastAsiaTheme="minorEastAsia" w:cstheme="minorBidi"/>
          <w:i/>
          <w:iCs/>
          <w:lang w:eastAsia="en-US"/>
        </w:rPr>
      </w:pPr>
      <w:r w:rsidRPr="61515D21">
        <w:rPr>
          <w:rFonts w:eastAsiaTheme="minorEastAsia" w:cstheme="minorBidi"/>
          <w:i/>
          <w:iCs/>
          <w:lang w:eastAsia="en-US"/>
        </w:rPr>
        <w:t xml:space="preserve">Det vil derfor være av stor betydning å få avklart om det er lovlig for institusjonene å delfinansiere EVU-kurs som er klassifisert som salg hvor enkeltstudenter betaler deltakeravgift. </w:t>
      </w:r>
    </w:p>
    <w:p w14:paraId="3B61FDB3" w14:textId="77777777" w:rsidR="00353250" w:rsidRDefault="61515D21" w:rsidP="61515D21">
      <w:pPr>
        <w:rPr>
          <w:rFonts w:eastAsiaTheme="minorEastAsia" w:cstheme="minorBidi"/>
          <w:i/>
          <w:iCs/>
          <w:lang w:eastAsia="en-US"/>
        </w:rPr>
      </w:pPr>
      <w:r w:rsidRPr="61515D21">
        <w:rPr>
          <w:rFonts w:eastAsiaTheme="minorEastAsia" w:cstheme="minorBidi"/>
          <w:i/>
          <w:iCs/>
          <w:lang w:eastAsia="en-US"/>
        </w:rPr>
        <w:t>Universitets- og høgskolerådet ber Kunnskapsdepartementet om å klargjøre overnevnte forhold.</w:t>
      </w:r>
    </w:p>
    <w:p w14:paraId="394E8755" w14:textId="77777777" w:rsidR="007F1512" w:rsidRPr="00353250" w:rsidRDefault="61515D21" w:rsidP="61515D21">
      <w:pPr>
        <w:rPr>
          <w:rFonts w:eastAsiaTheme="minorEastAsia" w:cstheme="minorBidi"/>
          <w:u w:val="single"/>
          <w:lang w:eastAsia="en-US"/>
        </w:rPr>
      </w:pPr>
      <w:r w:rsidRPr="61515D21">
        <w:rPr>
          <w:rFonts w:eastAsiaTheme="minorEastAsia" w:cstheme="minorBidi"/>
          <w:u w:val="single"/>
          <w:lang w:eastAsia="en-US"/>
        </w:rPr>
        <w:t>KDs svar til UHR 24.05.2017:</w:t>
      </w:r>
    </w:p>
    <w:p w14:paraId="14AA906A" w14:textId="77777777" w:rsidR="007F1512" w:rsidRPr="00353250" w:rsidRDefault="007F1512" w:rsidP="61515D21">
      <w:pPr>
        <w:rPr>
          <w:rFonts w:eastAsiaTheme="minorEastAsia" w:cstheme="minorBidi"/>
          <w:i/>
          <w:iCs/>
          <w:lang w:eastAsia="en-US"/>
        </w:rPr>
      </w:pPr>
      <w:r w:rsidRPr="61515D21">
        <w:rPr>
          <w:rFonts w:eastAsiaTheme="minorEastAsia" w:cstheme="minorBidi"/>
          <w:i/>
          <w:iCs/>
          <w:lang w:eastAsia="en-US"/>
        </w:rPr>
        <w:t xml:space="preserve">Et av formålene med den nye versjonen av Rundskriv F-07/2013 var å sikre at delfinansiering av eksternfinansiert aktivitet ikke kommer i konflikt med EØS-avtalens regler om offentlig støtte. Dette er et viktig forhold som institusjonene må ta hensyn til når de planlegger slike </w:t>
      </w:r>
      <w:r w:rsidRPr="61515D21">
        <w:rPr>
          <w:rFonts w:eastAsiaTheme="minorEastAsia" w:cstheme="minorBidi"/>
          <w:i/>
          <w:iCs/>
          <w:lang w:eastAsia="en-US"/>
        </w:rPr>
        <w:lastRenderedPageBreak/>
        <w:t>tiltak. Kravene som settes til institusjonene i rundskriv F-07/2013 er utformet på en måte som etter departementets syn bidrar til å ivareta forpliktelsene etter EØS-avtalen. I enkelte svært begrensede tilfeller vil det likevel kunne være adgang til å kreve egenbetaling for et tilbud der også institusjonen finansierer deler av kostnadene. Det er dette som er angitt i forskrift om egenbetaling § 3-2 annet ledd. Denne forskriften må imidlertid leses i lys av andre kilder, inkludert Norges forpliktelser etter EØS-avtalen. Det vil si at det ikke er faktisk motstrid mellom forskrift om egenbetaling og Rundskriv F-07/2013. Departementet vil vurdere om dette kan fremkomme på en mer hensiktsmessig måte.</w:t>
      </w:r>
      <w:r w:rsidRPr="00353250">
        <w:rPr>
          <w:rFonts w:eastAsiaTheme="minorHAnsi" w:cstheme="minorBidi"/>
          <w:i/>
          <w:szCs w:val="22"/>
          <w:lang w:eastAsia="en-US"/>
        </w:rPr>
        <w:tab/>
      </w:r>
    </w:p>
    <w:p w14:paraId="6E72DF63" w14:textId="04A01D19" w:rsidR="00F22A34" w:rsidRPr="00F22A34" w:rsidRDefault="7625745A" w:rsidP="7625745A">
      <w:pPr>
        <w:rPr>
          <w:rFonts w:asciiTheme="minorBidi" w:eastAsiaTheme="minorBidi" w:hAnsiTheme="minorBidi" w:cstheme="minorBidi"/>
          <w:lang w:eastAsia="en-US"/>
        </w:rPr>
      </w:pPr>
      <w:r w:rsidRPr="7625745A">
        <w:rPr>
          <w:rFonts w:asciiTheme="minorBidi" w:eastAsiaTheme="minorBidi" w:hAnsiTheme="minorBidi" w:cstheme="minorBidi"/>
          <w:lang w:eastAsia="en-US"/>
        </w:rPr>
        <w:t xml:space="preserve">UH-institusjonene tolker brevet dit hen at EVU-aktiviteter som utgangspunkt enten skal fullfinansieres av deltakerne eller være gratis. Kun unntaksvis skal det være anledning til samfinansiering, som vil si delvis finansiering fra institusjonene og egenbetaling fra deltakerne. I brevet gis det ingen klare føringer for når unntaksregelen kan benyttes og hvor stor egenbetalingen fra deltakerne kan være i slike tilfeller. Det forklares heller ikke hvordan egenbetalingen fra deltakerne henger sammen med statsstøtteregelverkets kategorier «ikke-økonomisk» og «økonomisk» aktivitet. Det er derfor behov for ytterligere avklaringer og presiseringer fra KD som forvalter av egenbetalingsforskriften, slik at det blir en enhetlig forståelse og praksis blant institusjonene. </w:t>
      </w:r>
    </w:p>
    <w:p w14:paraId="47F0D199" w14:textId="77777777" w:rsidR="00C11AD8" w:rsidRPr="00C42012" w:rsidRDefault="61515D21" w:rsidP="61515D21">
      <w:pPr>
        <w:pStyle w:val="Overskrift3"/>
        <w:rPr>
          <w:rStyle w:val="Overskrift2Tegn"/>
          <w:sz w:val="24"/>
          <w:szCs w:val="24"/>
        </w:rPr>
      </w:pPr>
      <w:bookmarkStart w:id="6" w:name="_Toc516731417"/>
      <w:r w:rsidRPr="61515D21">
        <w:rPr>
          <w:rStyle w:val="Overskrift2Tegn"/>
          <w:b/>
          <w:bCs/>
          <w:sz w:val="24"/>
          <w:szCs w:val="24"/>
        </w:rPr>
        <w:t>1.2 Mandat og oppnevning av arbeidsgruppe</w:t>
      </w:r>
      <w:bookmarkEnd w:id="6"/>
    </w:p>
    <w:p w14:paraId="7CA5C580" w14:textId="2229739E" w:rsidR="00C42012" w:rsidRDefault="00ED1535" w:rsidP="00C42012">
      <w:pPr>
        <w:rPr>
          <w:rStyle w:val="Overskrift2Tegn"/>
          <w:sz w:val="24"/>
          <w:szCs w:val="24"/>
        </w:rPr>
      </w:pPr>
      <w:r>
        <w:rPr>
          <w:rFonts w:eastAsiaTheme="minorEastAsia" w:cstheme="minorBidi"/>
          <w:lang w:eastAsia="en-US"/>
        </w:rPr>
        <w:t>For å avklare rammebetingelsene for EVU</w:t>
      </w:r>
      <w:r w:rsidR="007158C4">
        <w:rPr>
          <w:rFonts w:eastAsiaTheme="minorEastAsia" w:cstheme="minorBidi"/>
          <w:lang w:eastAsia="en-US"/>
        </w:rPr>
        <w:t xml:space="preserve"> ytterligere</w:t>
      </w:r>
      <w:r>
        <w:rPr>
          <w:rFonts w:eastAsiaTheme="minorEastAsia" w:cstheme="minorBidi"/>
          <w:lang w:eastAsia="en-US"/>
        </w:rPr>
        <w:t>, satte UHR</w:t>
      </w:r>
      <w:r w:rsidR="00507B2E">
        <w:rPr>
          <w:rFonts w:eastAsiaTheme="minorEastAsia" w:cstheme="minorBidi"/>
          <w:lang w:eastAsia="en-US"/>
        </w:rPr>
        <w:t>-Administrasjon</w:t>
      </w:r>
      <w:r>
        <w:rPr>
          <w:rFonts w:eastAsiaTheme="minorEastAsia" w:cstheme="minorBidi"/>
          <w:lang w:eastAsia="en-US"/>
        </w:rPr>
        <w:t xml:space="preserve"> høsten 2017 ned en ny arbeidsgruppe </w:t>
      </w:r>
      <w:r w:rsidR="007158C4">
        <w:rPr>
          <w:rFonts w:eastAsiaTheme="minorEastAsia" w:cstheme="minorBidi"/>
          <w:lang w:eastAsia="en-US"/>
        </w:rPr>
        <w:t>med følgende mandat:</w:t>
      </w:r>
      <w:r>
        <w:rPr>
          <w:rFonts w:eastAsiaTheme="minorEastAsia" w:cstheme="minorBidi"/>
          <w:lang w:eastAsia="en-US"/>
        </w:rPr>
        <w:t xml:space="preserve"> </w:t>
      </w:r>
    </w:p>
    <w:p w14:paraId="7E96C76B" w14:textId="77777777" w:rsidR="00DC435C" w:rsidRPr="007158C4" w:rsidRDefault="61515D21" w:rsidP="61515D21">
      <w:pPr>
        <w:spacing w:after="160" w:afterAutospacing="0" w:line="259" w:lineRule="auto"/>
        <w:rPr>
          <w:rFonts w:eastAsiaTheme="minorEastAsia" w:cstheme="minorBidi"/>
          <w:i/>
          <w:lang w:eastAsia="en-US"/>
        </w:rPr>
      </w:pPr>
      <w:r w:rsidRPr="007158C4">
        <w:rPr>
          <w:rFonts w:eastAsiaTheme="minorEastAsia" w:cstheme="minorBidi"/>
          <w:i/>
          <w:lang w:eastAsia="en-US"/>
        </w:rPr>
        <w:t>UHR oppretter en arbeidsgruppe som bes om å utrede forståelsen av regelverket for finansiering av etter- og videreutdanningsvirksomhet (EVU) i UH-sektoren. Målet for arbeidsgruppens arbeid er å skape en omforent forståelse for hvordan UH-sektoren bør forholde seg til statsstøtteregler, egenbetalingsforskriften, BOA-reglementet og Kunnskapsdepartementets finansieringssystem innenfor EVU-området. Arbeidsgruppens arbeid skal munne ut i veiledende anbefalte retningslinjer for finansiering av etter- og videreutdanning.</w:t>
      </w:r>
    </w:p>
    <w:p w14:paraId="796D40E3" w14:textId="77777777" w:rsidR="00DC435C" w:rsidRPr="007158C4" w:rsidRDefault="61515D21" w:rsidP="61515D21">
      <w:pPr>
        <w:spacing w:after="160" w:afterAutospacing="0" w:line="259" w:lineRule="auto"/>
        <w:rPr>
          <w:rFonts w:eastAsiaTheme="minorEastAsia" w:cstheme="minorBidi"/>
          <w:i/>
          <w:lang w:eastAsia="en-US"/>
        </w:rPr>
      </w:pPr>
      <w:r w:rsidRPr="007158C4">
        <w:rPr>
          <w:rFonts w:eastAsiaTheme="minorEastAsia" w:cstheme="minorBidi"/>
          <w:i/>
          <w:lang w:eastAsia="en-US"/>
        </w:rPr>
        <w:t xml:space="preserve">Arbeidsgruppen bes om å levere sitt forslag til retningslinjer innen 15. juni 2018. Forslaget vil bli sendt på høring i UH-sektoren, før det legges frem for </w:t>
      </w:r>
      <w:proofErr w:type="spellStart"/>
      <w:r w:rsidRPr="007158C4">
        <w:rPr>
          <w:rFonts w:eastAsiaTheme="minorEastAsia" w:cstheme="minorBidi"/>
          <w:i/>
          <w:lang w:eastAsia="en-US"/>
        </w:rPr>
        <w:t>UHRs</w:t>
      </w:r>
      <w:proofErr w:type="spellEnd"/>
      <w:r w:rsidRPr="007158C4">
        <w:rPr>
          <w:rFonts w:eastAsiaTheme="minorEastAsia" w:cstheme="minorBidi"/>
          <w:i/>
          <w:lang w:eastAsia="en-US"/>
        </w:rPr>
        <w:t xml:space="preserve"> styre. Det gis ikke økonomisk tilskudd til arbeidet i gruppen, men forutsettes at de deltakende institusjonene selv dekker utgifter til reise og medgått arbeidstid.</w:t>
      </w:r>
    </w:p>
    <w:p w14:paraId="6F5F4FC1" w14:textId="77777777" w:rsidR="00431613" w:rsidRPr="007158C4" w:rsidRDefault="007158C4" w:rsidP="61515D21">
      <w:pPr>
        <w:rPr>
          <w:rFonts w:eastAsiaTheme="minorEastAsia" w:cstheme="minorBidi"/>
          <w:bCs/>
          <w:lang w:eastAsia="en-US"/>
        </w:rPr>
      </w:pPr>
      <w:r w:rsidRPr="007158C4">
        <w:rPr>
          <w:rFonts w:eastAsiaTheme="minorEastAsia" w:cstheme="minorBidi"/>
          <w:bCs/>
          <w:lang w:eastAsia="en-US"/>
        </w:rPr>
        <w:t>Deltakere i a</w:t>
      </w:r>
      <w:r w:rsidR="61515D21" w:rsidRPr="007158C4">
        <w:rPr>
          <w:rFonts w:eastAsiaTheme="minorEastAsia" w:cstheme="minorBidi"/>
          <w:bCs/>
          <w:lang w:eastAsia="en-US"/>
        </w:rPr>
        <w:t>rbeidsgruppe</w:t>
      </w:r>
      <w:r>
        <w:rPr>
          <w:rFonts w:eastAsiaTheme="minorEastAsia" w:cstheme="minorBidi"/>
          <w:bCs/>
          <w:lang w:eastAsia="en-US"/>
        </w:rPr>
        <w:t>n er:</w:t>
      </w:r>
    </w:p>
    <w:p w14:paraId="368392BB" w14:textId="7A8902BB" w:rsidR="00862B44" w:rsidRDefault="61515D21" w:rsidP="007158C4">
      <w:pPr>
        <w:pStyle w:val="Listeavsnitt"/>
        <w:numPr>
          <w:ilvl w:val="0"/>
          <w:numId w:val="6"/>
        </w:numPr>
        <w:spacing w:after="200" w:afterAutospacing="0" w:line="276" w:lineRule="auto"/>
      </w:pPr>
      <w:r>
        <w:t>Ann Marit Roterud Espe,</w:t>
      </w:r>
      <w:r w:rsidR="007158C4" w:rsidRPr="007158C4">
        <w:t xml:space="preserve"> </w:t>
      </w:r>
      <w:r w:rsidR="003E7FC9">
        <w:t>juridisk seniorrådgiver</w:t>
      </w:r>
      <w:r w:rsidR="007158C4">
        <w:t xml:space="preserve">, </w:t>
      </w:r>
      <w:r w:rsidR="007158C4" w:rsidRPr="007158C4">
        <w:t>Avdeling for utdanning og studiekvalitet</w:t>
      </w:r>
      <w:r w:rsidR="007158C4">
        <w:t>,</w:t>
      </w:r>
      <w:r>
        <w:t xml:space="preserve"> </w:t>
      </w:r>
      <w:r w:rsidR="006A7E0D">
        <w:t xml:space="preserve">Universitet </w:t>
      </w:r>
      <w:r>
        <w:t>i Sørøst-Norge</w:t>
      </w:r>
    </w:p>
    <w:p w14:paraId="70A0CDE6" w14:textId="77777777" w:rsidR="00760DC5" w:rsidRPr="00DC435C" w:rsidRDefault="61515D21" w:rsidP="61515D21">
      <w:pPr>
        <w:pStyle w:val="Listeavsnitt"/>
        <w:numPr>
          <w:ilvl w:val="0"/>
          <w:numId w:val="6"/>
        </w:numPr>
        <w:spacing w:after="200" w:afterAutospacing="0" w:line="276" w:lineRule="auto"/>
      </w:pPr>
      <w:r>
        <w:t>Vigdis Johansen, avdelingsdirektør, Senter for etter- og videreutdanning, NMBU</w:t>
      </w:r>
    </w:p>
    <w:p w14:paraId="6407D2B5" w14:textId="77777777" w:rsidR="00760DC5" w:rsidRPr="00DC435C" w:rsidRDefault="61515D21" w:rsidP="007158C4">
      <w:pPr>
        <w:pStyle w:val="Listeavsnitt"/>
        <w:numPr>
          <w:ilvl w:val="0"/>
          <w:numId w:val="6"/>
        </w:numPr>
        <w:spacing w:after="200" w:afterAutospacing="0" w:line="276" w:lineRule="auto"/>
      </w:pPr>
      <w:r>
        <w:t xml:space="preserve">Kristin Reiso Lawther, </w:t>
      </w:r>
      <w:r w:rsidR="007158C4">
        <w:t xml:space="preserve">kontorsjef, </w:t>
      </w:r>
      <w:r w:rsidR="007158C4" w:rsidRPr="007158C4">
        <w:t xml:space="preserve">Kontor for etter- og </w:t>
      </w:r>
      <w:proofErr w:type="spellStart"/>
      <w:r w:rsidR="007158C4" w:rsidRPr="007158C4">
        <w:t>vidareutdanning</w:t>
      </w:r>
      <w:proofErr w:type="spellEnd"/>
      <w:r w:rsidR="007158C4">
        <w:t>,</w:t>
      </w:r>
      <w:r w:rsidR="0006607E">
        <w:t xml:space="preserve"> </w:t>
      </w:r>
      <w:r>
        <w:t>Høgskulen på Vestlandet</w:t>
      </w:r>
    </w:p>
    <w:p w14:paraId="1B2B6829" w14:textId="77777777" w:rsidR="00760DC5" w:rsidRPr="00DC435C" w:rsidRDefault="007158C4" w:rsidP="61515D21">
      <w:pPr>
        <w:pStyle w:val="Listeavsnitt"/>
        <w:numPr>
          <w:ilvl w:val="0"/>
          <w:numId w:val="6"/>
        </w:numPr>
        <w:spacing w:after="200" w:afterAutospacing="0" w:line="276" w:lineRule="auto"/>
      </w:pPr>
      <w:r>
        <w:t>Lise Trondsen Sagdahl, s</w:t>
      </w:r>
      <w:r w:rsidR="61515D21">
        <w:t>eniorrådgiver, Avdeling for Virksomhetsstyring, NTNU (leder)</w:t>
      </w:r>
    </w:p>
    <w:p w14:paraId="6B47B0C7" w14:textId="2F61C1FB" w:rsidR="00760DC5" w:rsidRPr="00DC435C" w:rsidRDefault="61515D21" w:rsidP="007158C4">
      <w:pPr>
        <w:pStyle w:val="Listeavsnitt"/>
        <w:numPr>
          <w:ilvl w:val="0"/>
          <w:numId w:val="6"/>
        </w:numPr>
        <w:spacing w:after="200" w:afterAutospacing="0" w:line="276" w:lineRule="auto"/>
      </w:pPr>
      <w:r>
        <w:t>Rune Ø</w:t>
      </w:r>
      <w:r w:rsidR="00C50002">
        <w:t>.</w:t>
      </w:r>
      <w:r>
        <w:t xml:space="preserve"> Sandaker, </w:t>
      </w:r>
      <w:r w:rsidR="007158C4">
        <w:t>s</w:t>
      </w:r>
      <w:r w:rsidR="007158C4" w:rsidRPr="007158C4">
        <w:t>eksjonssjef for økonomitjenester</w:t>
      </w:r>
      <w:r w:rsidR="007158C4">
        <w:t xml:space="preserve">, Økonomiavdelingen, </w:t>
      </w:r>
      <w:r w:rsidR="006A7E0D">
        <w:t>Universitetet</w:t>
      </w:r>
      <w:r>
        <w:t xml:space="preserve"> i Sørøst-Norge</w:t>
      </w:r>
    </w:p>
    <w:p w14:paraId="3855B1DD" w14:textId="77777777" w:rsidR="00760DC5" w:rsidRPr="00DC435C" w:rsidRDefault="61515D21" w:rsidP="61515D21">
      <w:pPr>
        <w:pStyle w:val="Listeavsnitt"/>
        <w:numPr>
          <w:ilvl w:val="0"/>
          <w:numId w:val="6"/>
        </w:numPr>
        <w:spacing w:after="200" w:afterAutospacing="0" w:line="276" w:lineRule="auto"/>
      </w:pPr>
      <w:r>
        <w:lastRenderedPageBreak/>
        <w:t xml:space="preserve">Hanne Sørgjerd, </w:t>
      </w:r>
      <w:r w:rsidR="007158C4">
        <w:t xml:space="preserve">seniorrådgiver (jurist), Avdeling for Virksomhetsstyring, NTNU </w:t>
      </w:r>
    </w:p>
    <w:p w14:paraId="4A953098" w14:textId="77777777" w:rsidR="00760DC5" w:rsidRPr="008137A9" w:rsidRDefault="1268772F" w:rsidP="1268772F">
      <w:pPr>
        <w:pStyle w:val="Listeavsnitt"/>
        <w:numPr>
          <w:ilvl w:val="0"/>
          <w:numId w:val="6"/>
        </w:numPr>
        <w:spacing w:after="200" w:afterAutospacing="0" w:line="276" w:lineRule="auto"/>
        <w:rPr>
          <w:lang w:val="nn-NO"/>
        </w:rPr>
      </w:pPr>
      <w:r w:rsidRPr="1268772F">
        <w:rPr>
          <w:lang w:val="nn-NO"/>
        </w:rPr>
        <w:t>Ingunn Welle, økonomidirektør, Høgskulen i Volda.</w:t>
      </w:r>
    </w:p>
    <w:p w14:paraId="587611BB" w14:textId="42CCC66D" w:rsidR="0067617B" w:rsidRDefault="61515D21" w:rsidP="1268772F">
      <w:pPr>
        <w:pStyle w:val="Listeavsnitt"/>
        <w:numPr>
          <w:ilvl w:val="0"/>
          <w:numId w:val="6"/>
        </w:numPr>
        <w:spacing w:after="200" w:afterAutospacing="0" w:line="276" w:lineRule="auto"/>
      </w:pPr>
      <w:r>
        <w:t xml:space="preserve">Kirsti Robertsen Aarøen, </w:t>
      </w:r>
      <w:r w:rsidR="005A0909">
        <w:t>a</w:t>
      </w:r>
      <w:r w:rsidR="005A0909" w:rsidRPr="005A0909">
        <w:t>ss</w:t>
      </w:r>
      <w:r w:rsidR="005A0909">
        <w:t>.</w:t>
      </w:r>
      <w:r w:rsidR="005A0909" w:rsidRPr="005A0909">
        <w:t xml:space="preserve"> økonomidirektør</w:t>
      </w:r>
      <w:r w:rsidR="007158C4">
        <w:t>, Økonomiavdelingen Universitetet i Bergen.</w:t>
      </w:r>
    </w:p>
    <w:p w14:paraId="44931CF5" w14:textId="77777777" w:rsidR="001302AD" w:rsidRDefault="001302AD" w:rsidP="001302AD">
      <w:pPr>
        <w:pStyle w:val="Listeavsnitt"/>
        <w:spacing w:after="200" w:afterAutospacing="0" w:line="276" w:lineRule="auto"/>
      </w:pPr>
    </w:p>
    <w:p w14:paraId="5ACABDAA" w14:textId="77777777" w:rsidR="00A928C7" w:rsidRPr="001606CB" w:rsidRDefault="61515D21" w:rsidP="61515D21">
      <w:pPr>
        <w:rPr>
          <w:rFonts w:eastAsiaTheme="minorEastAsia" w:cstheme="minorBidi"/>
          <w:bCs/>
          <w:i/>
          <w:lang w:eastAsia="en-US"/>
        </w:rPr>
      </w:pPr>
      <w:r w:rsidRPr="001606CB">
        <w:rPr>
          <w:rFonts w:eastAsiaTheme="minorEastAsia" w:cstheme="minorBidi"/>
          <w:bCs/>
          <w:i/>
          <w:lang w:eastAsia="en-US"/>
        </w:rPr>
        <w:t>Prosess</w:t>
      </w:r>
    </w:p>
    <w:p w14:paraId="5F19B694" w14:textId="67CDC66C" w:rsidR="00263784" w:rsidRDefault="2702926F" w:rsidP="001302AD">
      <w:pPr>
        <w:rPr>
          <w:rFonts w:eastAsiaTheme="minorEastAsia" w:cstheme="minorBidi"/>
          <w:lang w:eastAsia="en-US"/>
        </w:rPr>
      </w:pPr>
      <w:r w:rsidRPr="008137A9">
        <w:rPr>
          <w:rFonts w:eastAsiaTheme="minorEastAsia" w:cstheme="minorBidi"/>
          <w:lang w:eastAsia="en-US"/>
        </w:rPr>
        <w:t xml:space="preserve">Arbeidsgruppen har hatt </w:t>
      </w:r>
      <w:r w:rsidR="00507B2E">
        <w:rPr>
          <w:rFonts w:eastAsiaTheme="minorEastAsia" w:cstheme="minorBidi"/>
          <w:lang w:eastAsia="en-US"/>
        </w:rPr>
        <w:t>seks</w:t>
      </w:r>
      <w:r w:rsidRPr="008137A9">
        <w:rPr>
          <w:rFonts w:eastAsiaTheme="minorEastAsia" w:cstheme="minorBidi"/>
          <w:lang w:eastAsia="en-US"/>
        </w:rPr>
        <w:t xml:space="preserve"> møter i perioden 13.12.17 til 13.06.18. Fire møter ble gjennomført via </w:t>
      </w:r>
      <w:proofErr w:type="spellStart"/>
      <w:r w:rsidR="00507B2E">
        <w:rPr>
          <w:rFonts w:eastAsiaTheme="minorEastAsia" w:cstheme="minorBidi"/>
          <w:lang w:eastAsia="en-US"/>
        </w:rPr>
        <w:t>s</w:t>
      </w:r>
      <w:r w:rsidRPr="008137A9">
        <w:rPr>
          <w:rFonts w:eastAsiaTheme="minorEastAsia" w:cstheme="minorBidi"/>
          <w:lang w:eastAsia="en-US"/>
        </w:rPr>
        <w:t>kype</w:t>
      </w:r>
      <w:proofErr w:type="spellEnd"/>
      <w:r w:rsidRPr="008137A9">
        <w:rPr>
          <w:rFonts w:eastAsiaTheme="minorEastAsia" w:cstheme="minorBidi"/>
          <w:lang w:eastAsia="en-US"/>
        </w:rPr>
        <w:t xml:space="preserve"> og arbeidsgruppen var samlet </w:t>
      </w:r>
      <w:r w:rsidR="00F57329">
        <w:rPr>
          <w:rFonts w:eastAsiaTheme="minorEastAsia" w:cstheme="minorBidi"/>
          <w:lang w:eastAsia="en-US"/>
        </w:rPr>
        <w:t>to</w:t>
      </w:r>
      <w:r w:rsidRPr="008137A9">
        <w:rPr>
          <w:rFonts w:eastAsiaTheme="minorEastAsia" w:cstheme="minorBidi"/>
          <w:lang w:eastAsia="en-US"/>
        </w:rPr>
        <w:t xml:space="preserve"> ganger i Oslo. </w:t>
      </w:r>
      <w:r w:rsidR="00507B2E">
        <w:rPr>
          <w:rFonts w:eastAsiaTheme="minorEastAsia" w:cstheme="minorBidi"/>
          <w:lang w:eastAsia="en-US"/>
        </w:rPr>
        <w:t>Arbeidsoppgaver har blitt fordelt internt i gruppen underveis i prosessen.</w:t>
      </w:r>
    </w:p>
    <w:p w14:paraId="269CD744" w14:textId="24BFE3D0" w:rsidR="001302AD" w:rsidRDefault="2702926F" w:rsidP="001302AD">
      <w:r>
        <w:t xml:space="preserve">Som del av utredningen, deltok Hanne M. Sørgjerd og Lise T. Sagdahl fra NTNU på ekspertseminar om statsstøtte 12.-14. april 2018: </w:t>
      </w:r>
      <w:proofErr w:type="spellStart"/>
      <w:r w:rsidRPr="2702926F">
        <w:rPr>
          <w:i/>
          <w:iCs/>
        </w:rPr>
        <w:t>EStAL</w:t>
      </w:r>
      <w:proofErr w:type="spellEnd"/>
      <w:r w:rsidRPr="2702926F">
        <w:rPr>
          <w:i/>
          <w:iCs/>
        </w:rPr>
        <w:t xml:space="preserve"> Seminar: </w:t>
      </w:r>
      <w:proofErr w:type="spellStart"/>
      <w:r w:rsidRPr="2702926F">
        <w:rPr>
          <w:i/>
          <w:iCs/>
        </w:rPr>
        <w:t>Mapping</w:t>
      </w:r>
      <w:proofErr w:type="spellEnd"/>
      <w:r w:rsidRPr="2702926F">
        <w:rPr>
          <w:i/>
          <w:iCs/>
        </w:rPr>
        <w:t xml:space="preserve"> </w:t>
      </w:r>
      <w:proofErr w:type="spellStart"/>
      <w:r w:rsidRPr="2702926F">
        <w:rPr>
          <w:i/>
          <w:iCs/>
        </w:rPr>
        <w:t>the</w:t>
      </w:r>
      <w:proofErr w:type="spellEnd"/>
      <w:r w:rsidRPr="2702926F">
        <w:rPr>
          <w:i/>
          <w:iCs/>
        </w:rPr>
        <w:t xml:space="preserve"> </w:t>
      </w:r>
      <w:proofErr w:type="spellStart"/>
      <w:r w:rsidRPr="2702926F">
        <w:rPr>
          <w:i/>
          <w:iCs/>
        </w:rPr>
        <w:t>Boundaries</w:t>
      </w:r>
      <w:proofErr w:type="spellEnd"/>
      <w:r w:rsidRPr="2702926F">
        <w:rPr>
          <w:i/>
          <w:iCs/>
        </w:rPr>
        <w:t xml:space="preserve"> </w:t>
      </w:r>
      <w:proofErr w:type="spellStart"/>
      <w:r w:rsidRPr="2702926F">
        <w:rPr>
          <w:i/>
          <w:iCs/>
        </w:rPr>
        <w:t>of</w:t>
      </w:r>
      <w:proofErr w:type="spellEnd"/>
      <w:r w:rsidRPr="2702926F">
        <w:rPr>
          <w:i/>
          <w:iCs/>
        </w:rPr>
        <w:t xml:space="preserve"> </w:t>
      </w:r>
      <w:proofErr w:type="spellStart"/>
      <w:r w:rsidRPr="2702926F">
        <w:rPr>
          <w:i/>
          <w:iCs/>
        </w:rPr>
        <w:t>the</w:t>
      </w:r>
      <w:proofErr w:type="spellEnd"/>
      <w:r w:rsidRPr="2702926F">
        <w:rPr>
          <w:i/>
          <w:iCs/>
        </w:rPr>
        <w:t xml:space="preserve"> Market, </w:t>
      </w:r>
      <w:proofErr w:type="spellStart"/>
      <w:r w:rsidRPr="2702926F">
        <w:rPr>
          <w:i/>
          <w:iCs/>
        </w:rPr>
        <w:t>Notion</w:t>
      </w:r>
      <w:proofErr w:type="spellEnd"/>
      <w:r w:rsidRPr="2702926F">
        <w:rPr>
          <w:i/>
          <w:iCs/>
        </w:rPr>
        <w:t xml:space="preserve"> </w:t>
      </w:r>
      <w:proofErr w:type="spellStart"/>
      <w:r w:rsidRPr="2702926F">
        <w:rPr>
          <w:i/>
          <w:iCs/>
        </w:rPr>
        <w:t>of</w:t>
      </w:r>
      <w:proofErr w:type="spellEnd"/>
      <w:r w:rsidRPr="2702926F">
        <w:rPr>
          <w:i/>
          <w:iCs/>
        </w:rPr>
        <w:t xml:space="preserve"> Aid – </w:t>
      </w:r>
      <w:proofErr w:type="spellStart"/>
      <w:r w:rsidRPr="2702926F">
        <w:rPr>
          <w:i/>
          <w:iCs/>
        </w:rPr>
        <w:t>Economic</w:t>
      </w:r>
      <w:proofErr w:type="spellEnd"/>
      <w:r w:rsidRPr="2702926F">
        <w:rPr>
          <w:i/>
          <w:iCs/>
        </w:rPr>
        <w:t xml:space="preserve"> Activity – State Resources – </w:t>
      </w:r>
      <w:proofErr w:type="spellStart"/>
      <w:r w:rsidRPr="2702926F">
        <w:rPr>
          <w:i/>
          <w:iCs/>
        </w:rPr>
        <w:t>Advantage</w:t>
      </w:r>
      <w:proofErr w:type="spellEnd"/>
      <w:r w:rsidRPr="2702926F">
        <w:rPr>
          <w:i/>
          <w:iCs/>
        </w:rPr>
        <w:t>.</w:t>
      </w:r>
      <w:r>
        <w:t xml:space="preserve"> Seminaret var lagt opp slik at deltakerne på forhånd kunne sende inn sine problemstillinger og få råd fra ledende eksperter </w:t>
      </w:r>
      <w:r w:rsidR="002042C4">
        <w:t>i Europa på statsstøtteregelverket.</w:t>
      </w:r>
    </w:p>
    <w:p w14:paraId="69FB1E0C" w14:textId="5D1681A3" w:rsidR="001B7A4A" w:rsidRDefault="00C50002" w:rsidP="2702926F">
      <w:r>
        <w:t>Representanter fra a</w:t>
      </w:r>
      <w:r w:rsidR="001B7A4A">
        <w:t xml:space="preserve">rbeidsgruppen møtte Kunnskapsdepartementet 25.05.2018 for å utdype </w:t>
      </w:r>
      <w:r w:rsidR="003B1F3D">
        <w:t>o</w:t>
      </w:r>
      <w:r w:rsidR="001B7A4A">
        <w:t>g drøfte brev som ble sendt fra UHR til KD 25.04.2018</w:t>
      </w:r>
      <w:r w:rsidR="003E7FC9">
        <w:t xml:space="preserve"> (gjengitt i</w:t>
      </w:r>
      <w:r w:rsidR="00507B2E">
        <w:t xml:space="preserve"> kapittel 4 i denne rapporten</w:t>
      </w:r>
      <w:r w:rsidR="003E7FC9">
        <w:t>)</w:t>
      </w:r>
      <w:r w:rsidR="00507B2E">
        <w:t>.</w:t>
      </w:r>
    </w:p>
    <w:p w14:paraId="61BCA419" w14:textId="77777777" w:rsidR="000C1448" w:rsidRPr="00512B74" w:rsidRDefault="000C1448" w:rsidP="2702926F">
      <w:pPr>
        <w:rPr>
          <w:rFonts w:eastAsiaTheme="minorEastAsia" w:cstheme="minorBidi"/>
          <w:bCs/>
          <w:i/>
          <w:color w:val="FF0000"/>
          <w:lang w:eastAsia="en-US"/>
        </w:rPr>
      </w:pPr>
    </w:p>
    <w:p w14:paraId="1CF048F2" w14:textId="77777777" w:rsidR="00790669" w:rsidRDefault="1268772F" w:rsidP="00790669">
      <w:pPr>
        <w:pStyle w:val="Overskrift2"/>
        <w:numPr>
          <w:ilvl w:val="0"/>
          <w:numId w:val="23"/>
        </w:numPr>
      </w:pPr>
      <w:bookmarkStart w:id="7" w:name="_Toc516731418"/>
      <w:r>
        <w:t>Definisjoner og klassifisering av EVU</w:t>
      </w:r>
      <w:bookmarkEnd w:id="7"/>
    </w:p>
    <w:p w14:paraId="71F7A80B" w14:textId="4E430FF3" w:rsidR="008B18B1" w:rsidRDefault="00790669" w:rsidP="1268772F">
      <w:r w:rsidRPr="008B18B1">
        <w:t>Egenbetalingsforskriften, BOA-reglementet og statsstøtteregelverket benytter ulike begreper</w:t>
      </w:r>
      <w:r w:rsidR="00A970D1" w:rsidRPr="008B18B1">
        <w:t xml:space="preserve"> for utdanningsaktiviteter. I denne rapporten velger vi å benytte følgende </w:t>
      </w:r>
      <w:r w:rsidR="000C1448" w:rsidRPr="008B18B1">
        <w:t>definisjoner</w:t>
      </w:r>
      <w:r w:rsidR="00A970D1" w:rsidRPr="008B18B1">
        <w:t xml:space="preserve"> fra egenbetalingsforskriften</w:t>
      </w:r>
      <w:r w:rsidR="005F5AB4" w:rsidRPr="06C947E4">
        <w:rPr>
          <w:rStyle w:val="Fotnotereferanse"/>
        </w:rPr>
        <w:footnoteReference w:id="3"/>
      </w:r>
      <w:r w:rsidR="00A970D1" w:rsidRPr="06C947E4">
        <w:t>:</w:t>
      </w:r>
    </w:p>
    <w:p w14:paraId="7DC7CB58" w14:textId="4BACC20E" w:rsidR="001E1AD8" w:rsidRPr="008B18B1" w:rsidRDefault="008D419D" w:rsidP="1268772F">
      <w:pPr>
        <w:rPr>
          <w:b/>
          <w:bCs/>
        </w:rPr>
      </w:pPr>
      <w:r w:rsidRPr="008B18B1">
        <w:rPr>
          <w:noProof/>
        </w:rPr>
        <mc:AlternateContent>
          <mc:Choice Requires="wps">
            <w:drawing>
              <wp:anchor distT="0" distB="0" distL="114300" distR="114300" simplePos="0" relativeHeight="251652096" behindDoc="0" locked="0" layoutInCell="1" allowOverlap="1" wp14:anchorId="7B73DCB8" wp14:editId="76F42CCD">
                <wp:simplePos x="0" y="0"/>
                <wp:positionH relativeFrom="margin">
                  <wp:align>left</wp:align>
                </wp:positionH>
                <wp:positionV relativeFrom="paragraph">
                  <wp:posOffset>173736</wp:posOffset>
                </wp:positionV>
                <wp:extent cx="5939625" cy="1592257"/>
                <wp:effectExtent l="0" t="0" r="23495" b="27305"/>
                <wp:wrapNone/>
                <wp:docPr id="1" name="Rektangel 1"/>
                <wp:cNvGraphicFramePr/>
                <a:graphic xmlns:a="http://schemas.openxmlformats.org/drawingml/2006/main">
                  <a:graphicData uri="http://schemas.microsoft.com/office/word/2010/wordprocessingShape">
                    <wps:wsp>
                      <wps:cNvSpPr/>
                      <wps:spPr>
                        <a:xfrm>
                          <a:off x="0" y="0"/>
                          <a:ext cx="5939625" cy="1592257"/>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28445" id="Rektangel 1" o:spid="_x0000_s1026" style="position:absolute;margin-left:0;margin-top:13.7pt;width:467.7pt;height:125.3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" filled="f" strokecolor="#0070c0" strokeweight="1.5pt">
                <w10:wrap anchorx="margin"/>
              </v:rect>
            </w:pict>
          </mc:Fallback>
        </mc:AlternateContent>
      </w:r>
    </w:p>
    <w:p w14:paraId="5AB6C4EE" w14:textId="665B2185" w:rsidR="00A970D1" w:rsidRDefault="00F57329" w:rsidP="00A970D1">
      <w:pPr>
        <w:ind w:left="708"/>
      </w:pPr>
      <w:r>
        <w:rPr>
          <w:b/>
        </w:rPr>
        <w:t>F</w:t>
      </w:r>
      <w:r w:rsidR="00A970D1" w:rsidRPr="00A970D1">
        <w:rPr>
          <w:b/>
        </w:rPr>
        <w:t>ag/emne:</w:t>
      </w:r>
      <w:r w:rsidR="00A970D1">
        <w:t xml:space="preserve"> fag/emner er de minste studiepoenggivende enheter med faglig innhold fastsatt av institusjonen</w:t>
      </w:r>
    </w:p>
    <w:p w14:paraId="30ADBBE6" w14:textId="0BEBB7B0" w:rsidR="00A970D1" w:rsidRDefault="00F57329" w:rsidP="00A970D1">
      <w:pPr>
        <w:ind w:left="708"/>
      </w:pPr>
      <w:r>
        <w:rPr>
          <w:b/>
        </w:rPr>
        <w:t>S</w:t>
      </w:r>
      <w:r w:rsidR="00A970D1" w:rsidRPr="00A970D1">
        <w:rPr>
          <w:b/>
        </w:rPr>
        <w:t>tudieprogram:</w:t>
      </w:r>
      <w:r w:rsidR="00A970D1">
        <w:t xml:space="preserve"> studieprogram er en gitt samling fag/emner som er fastsatt i studieplan, som studenter tas opp til, og som fører fram til grads- eller y</w:t>
      </w:r>
      <w:r w:rsidR="00B11A8A">
        <w:t>rkesutdanning</w:t>
      </w:r>
    </w:p>
    <w:p w14:paraId="140E2D71" w14:textId="588C42C2" w:rsidR="00A970D1" w:rsidRDefault="00F57329" w:rsidP="00A970D1">
      <w:pPr>
        <w:ind w:left="708"/>
      </w:pPr>
      <w:r>
        <w:rPr>
          <w:b/>
        </w:rPr>
        <w:t>K</w:t>
      </w:r>
      <w:r w:rsidR="00A970D1" w:rsidRPr="00A970D1">
        <w:rPr>
          <w:b/>
        </w:rPr>
        <w:t>urs:</w:t>
      </w:r>
      <w:r w:rsidR="00A970D1">
        <w:t xml:space="preserve"> utd</w:t>
      </w:r>
      <w:r w:rsidR="00B11A8A">
        <w:t>anning som ikke gir studiepoeng</w:t>
      </w:r>
    </w:p>
    <w:tbl>
      <w:tblPr>
        <w:tblW w:w="10017" w:type="dxa"/>
        <w:shd w:val="clear" w:color="auto" w:fill="FFFFFF"/>
        <w:tblCellMar>
          <w:top w:w="15" w:type="dxa"/>
          <w:left w:w="15" w:type="dxa"/>
          <w:bottom w:w="15" w:type="dxa"/>
          <w:right w:w="15" w:type="dxa"/>
        </w:tblCellMar>
        <w:tblLook w:val="04A0" w:firstRow="1" w:lastRow="0" w:firstColumn="1" w:lastColumn="0" w:noHBand="0" w:noVBand="1"/>
      </w:tblPr>
      <w:tblGrid>
        <w:gridCol w:w="497"/>
        <w:gridCol w:w="9520"/>
      </w:tblGrid>
      <w:tr w:rsidR="00A970D1" w:rsidRPr="00A970D1" w14:paraId="69972245" w14:textId="77777777" w:rsidTr="1AE49FCB">
        <w:tc>
          <w:tcPr>
            <w:tcW w:w="497" w:type="dxa"/>
            <w:shd w:val="clear" w:color="auto" w:fill="FFFFFF" w:themeFill="background1"/>
            <w:noWrap/>
            <w:tcMar>
              <w:top w:w="0" w:type="dxa"/>
              <w:left w:w="30" w:type="dxa"/>
              <w:bottom w:w="0" w:type="dxa"/>
              <w:right w:w="30" w:type="dxa"/>
            </w:tcMar>
          </w:tcPr>
          <w:p w14:paraId="7EF1F514" w14:textId="77777777" w:rsidR="00A970D1" w:rsidRPr="00A970D1" w:rsidRDefault="00A970D1" w:rsidP="00A970D1">
            <w:pPr>
              <w:spacing w:after="0" w:afterAutospacing="0"/>
              <w:jc w:val="right"/>
              <w:rPr>
                <w:bCs/>
              </w:rPr>
            </w:pPr>
          </w:p>
        </w:tc>
        <w:tc>
          <w:tcPr>
            <w:tcW w:w="0" w:type="auto"/>
            <w:shd w:val="clear" w:color="auto" w:fill="FFFFFF" w:themeFill="background1"/>
            <w:tcMar>
              <w:top w:w="0" w:type="dxa"/>
              <w:left w:w="30" w:type="dxa"/>
              <w:bottom w:w="0" w:type="dxa"/>
              <w:right w:w="30" w:type="dxa"/>
            </w:tcMar>
          </w:tcPr>
          <w:p w14:paraId="24B6A1AF" w14:textId="77777777" w:rsidR="00A970D1" w:rsidRDefault="00A970D1" w:rsidP="00A970D1">
            <w:pPr>
              <w:spacing w:after="0" w:afterAutospacing="0"/>
              <w:rPr>
                <w:bCs/>
              </w:rPr>
            </w:pPr>
          </w:p>
          <w:p w14:paraId="235406D7" w14:textId="7E086FD1" w:rsidR="00EB71F5" w:rsidRPr="00A970D1" w:rsidRDefault="00EB71F5" w:rsidP="00A970D1">
            <w:pPr>
              <w:spacing w:after="0" w:afterAutospacing="0"/>
              <w:rPr>
                <w:bCs/>
              </w:rPr>
            </w:pPr>
          </w:p>
        </w:tc>
      </w:tr>
    </w:tbl>
    <w:p w14:paraId="660AABCC" w14:textId="0A5A5618" w:rsidR="00790669" w:rsidRDefault="00790669" w:rsidP="00D82B79">
      <w:pPr>
        <w:rPr>
          <w:b/>
          <w:bCs/>
        </w:rPr>
      </w:pPr>
      <w:r>
        <w:t>Vi skiller mellom etter</w:t>
      </w:r>
      <w:r w:rsidR="00711737">
        <w:t>utdanning</w:t>
      </w:r>
      <w:r>
        <w:t xml:space="preserve"> og videreutdanning slik:</w:t>
      </w:r>
    </w:p>
    <w:p w14:paraId="426D9F2E" w14:textId="46A57A3C" w:rsidR="00D82B79" w:rsidRPr="00D82B79" w:rsidRDefault="00831884" w:rsidP="00A970D1">
      <w:pPr>
        <w:ind w:left="708"/>
      </w:pPr>
      <w:r>
        <w:rPr>
          <w:b/>
          <w:bCs/>
          <w:noProof/>
        </w:rPr>
        <w:lastRenderedPageBreak/>
        <mc:AlternateContent>
          <mc:Choice Requires="wps">
            <w:drawing>
              <wp:anchor distT="0" distB="0" distL="114300" distR="114300" simplePos="0" relativeHeight="251637760" behindDoc="0" locked="0" layoutInCell="1" allowOverlap="1" wp14:anchorId="0EAF26C2" wp14:editId="03D2EB6F">
                <wp:simplePos x="0" y="0"/>
                <wp:positionH relativeFrom="margin">
                  <wp:align>left</wp:align>
                </wp:positionH>
                <wp:positionV relativeFrom="paragraph">
                  <wp:posOffset>-168981</wp:posOffset>
                </wp:positionV>
                <wp:extent cx="5939155" cy="2111044"/>
                <wp:effectExtent l="0" t="0" r="23495" b="22860"/>
                <wp:wrapNone/>
                <wp:docPr id="6" name="Rektangel 6"/>
                <wp:cNvGraphicFramePr/>
                <a:graphic xmlns:a="http://schemas.openxmlformats.org/drawingml/2006/main">
                  <a:graphicData uri="http://schemas.microsoft.com/office/word/2010/wordprocessingShape">
                    <wps:wsp>
                      <wps:cNvSpPr/>
                      <wps:spPr>
                        <a:xfrm>
                          <a:off x="0" y="0"/>
                          <a:ext cx="5939155" cy="2111044"/>
                        </a:xfrm>
                        <a:prstGeom prst="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F3F80" id="Rektangel 6" o:spid="_x0000_s1026" style="position:absolute;margin-left:0;margin-top:-13.3pt;width:467.65pt;height:166.2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" filled="f" strokecolor="#0070c0" strokeweight="1.5pt">
                <w10:wrap anchorx="margin"/>
              </v:rect>
            </w:pict>
          </mc:Fallback>
        </mc:AlternateContent>
      </w:r>
      <w:r w:rsidR="2702926F" w:rsidRPr="2702926F">
        <w:rPr>
          <w:b/>
          <w:bCs/>
        </w:rPr>
        <w:t>Etterutdanning:</w:t>
      </w:r>
      <w:r w:rsidR="2702926F">
        <w:t xml:space="preserve"> </w:t>
      </w:r>
      <w:r w:rsidR="00F71F55" w:rsidRPr="00F57329">
        <w:rPr>
          <w:i/>
        </w:rPr>
        <w:t>kurs</w:t>
      </w:r>
      <w:r w:rsidR="2702926F" w:rsidRPr="00711737">
        <w:rPr>
          <w:b/>
          <w:i/>
        </w:rPr>
        <w:t xml:space="preserve"> </w:t>
      </w:r>
      <w:r w:rsidR="2702926F">
        <w:t xml:space="preserve">som gir vedlikehold og oppdatering </w:t>
      </w:r>
      <w:r w:rsidR="00C50002">
        <w:t>av</w:t>
      </w:r>
      <w:r w:rsidR="2702926F">
        <w:t xml:space="preserve"> kompetanse innenfor et område eller stilling</w:t>
      </w:r>
      <w:r w:rsidR="00AF5B62">
        <w:t xml:space="preserve"> uten å gi formell kompetanse</w:t>
      </w:r>
      <w:r w:rsidR="2702926F">
        <w:t>. Etterutdanning er korte</w:t>
      </w:r>
      <w:r w:rsidR="00A970D1">
        <w:t>re</w:t>
      </w:r>
      <w:r w:rsidR="2702926F">
        <w:t xml:space="preserve"> kurs som ikke </w:t>
      </w:r>
      <w:r w:rsidR="00AF5B62">
        <w:t xml:space="preserve">avsluttes med eksamen </w:t>
      </w:r>
      <w:r w:rsidR="2702926F">
        <w:t xml:space="preserve">eller </w:t>
      </w:r>
      <w:r w:rsidR="00AF5B62">
        <w:t xml:space="preserve">gir </w:t>
      </w:r>
      <w:r w:rsidR="2702926F">
        <w:t xml:space="preserve">studiepoeng, og </w:t>
      </w:r>
      <w:r w:rsidR="00AF5B62">
        <w:t xml:space="preserve">som ikke </w:t>
      </w:r>
      <w:r w:rsidR="2702926F">
        <w:t>inngår i et gradssystem.</w:t>
      </w:r>
      <w:r w:rsidR="00AF5B62">
        <w:t xml:space="preserve"> </w:t>
      </w:r>
    </w:p>
    <w:p w14:paraId="02807B09" w14:textId="2DCC4AD6" w:rsidR="00D82B79" w:rsidRDefault="61515D21" w:rsidP="000C1448">
      <w:pPr>
        <w:ind w:left="708"/>
      </w:pPr>
      <w:r w:rsidRPr="61515D21">
        <w:rPr>
          <w:b/>
          <w:bCs/>
        </w:rPr>
        <w:t>Videreutdanning:</w:t>
      </w:r>
      <w:r>
        <w:t xml:space="preserve"> </w:t>
      </w:r>
      <w:r w:rsidR="005D5A39" w:rsidRPr="00711737">
        <w:rPr>
          <w:i/>
        </w:rPr>
        <w:t>f</w:t>
      </w:r>
      <w:r w:rsidR="005F5AB4" w:rsidRPr="00711737">
        <w:rPr>
          <w:i/>
        </w:rPr>
        <w:t>ag/e</w:t>
      </w:r>
      <w:r w:rsidRPr="00711737">
        <w:rPr>
          <w:i/>
        </w:rPr>
        <w:t>mner</w:t>
      </w:r>
      <w:r>
        <w:t xml:space="preserve"> som gir formell kompetanse på universitets- eller høyskolenivå og studiepoeng innen</w:t>
      </w:r>
      <w:r w:rsidR="001E1AD8">
        <w:t>for</w:t>
      </w:r>
      <w:r>
        <w:t xml:space="preserve"> eller utenfor gradssystemet. Videreutdanninger er ment å tilpasses samfunnet og arbeidslivets behov</w:t>
      </w:r>
      <w:r w:rsidR="001E1AD8">
        <w:t>,</w:t>
      </w:r>
      <w:r>
        <w:t xml:space="preserve"> og tar opp kvalifiserte kandidater på eget opptak.</w:t>
      </w:r>
      <w:r w:rsidR="000C1448">
        <w:t xml:space="preserve"> Videreutdanning </w:t>
      </w:r>
      <w:r>
        <w:t>kan f.eks. være frittstående enkelt</w:t>
      </w:r>
      <w:r w:rsidR="00C80869">
        <w:t>emner</w:t>
      </w:r>
      <w:r>
        <w:t xml:space="preserve">, fagprogram med en serie eller samling av </w:t>
      </w:r>
      <w:r w:rsidR="005F5AB4">
        <w:t>fag/</w:t>
      </w:r>
      <w:r w:rsidR="00C80869">
        <w:t xml:space="preserve">emner </w:t>
      </w:r>
      <w:r>
        <w:t>rettet mot en bestemt målgruppe eller fagområde eller erfaringsbaserte masterprogrammer.</w:t>
      </w:r>
    </w:p>
    <w:p w14:paraId="4330079C" w14:textId="77777777" w:rsidR="001E1AD8" w:rsidRDefault="001E1AD8" w:rsidP="00D82B79"/>
    <w:p w14:paraId="5E57475C" w14:textId="6B9BC49A" w:rsidR="00B11A8A" w:rsidRPr="0027743D" w:rsidRDefault="00D82B79" w:rsidP="006F4548">
      <w:pPr>
        <w:rPr>
          <w:lang w:val="en-US"/>
        </w:rPr>
      </w:pPr>
      <w:r>
        <w:t>E</w:t>
      </w:r>
      <w:r w:rsidR="000C1448">
        <w:t xml:space="preserve">tter- og </w:t>
      </w:r>
      <w:r w:rsidR="008B18B1">
        <w:t>videreutdanning</w:t>
      </w:r>
      <w:r w:rsidR="000C1448">
        <w:t xml:space="preserve"> (E</w:t>
      </w:r>
      <w:r>
        <w:t>VU</w:t>
      </w:r>
      <w:r w:rsidR="000C1448">
        <w:t>)</w:t>
      </w:r>
      <w:r>
        <w:t xml:space="preserve"> kan klassifiseres </w:t>
      </w:r>
      <w:r w:rsidR="002042C4">
        <w:t xml:space="preserve">i </w:t>
      </w:r>
      <w:r w:rsidR="002042C4" w:rsidRPr="001606CB">
        <w:rPr>
          <w:i/>
        </w:rPr>
        <w:t>økonomisk</w:t>
      </w:r>
      <w:r w:rsidR="002042C4">
        <w:t xml:space="preserve"> og </w:t>
      </w:r>
      <w:r w:rsidR="002042C4" w:rsidRPr="001606CB">
        <w:rPr>
          <w:i/>
        </w:rPr>
        <w:t xml:space="preserve">ikke-økonomisk </w:t>
      </w:r>
      <w:r w:rsidR="002042C4">
        <w:t>aktivitet, jf. statsstøtteregelverket</w:t>
      </w:r>
      <w:r w:rsidR="002042C4">
        <w:rPr>
          <w:rStyle w:val="Fotnotereferanse"/>
        </w:rPr>
        <w:footnoteReference w:id="4"/>
      </w:r>
      <w:r w:rsidR="006F4548">
        <w:t xml:space="preserve"> og</w:t>
      </w:r>
      <w:r w:rsidR="00953BE7">
        <w:t xml:space="preserve"> </w:t>
      </w:r>
      <w:r w:rsidR="006F4548">
        <w:t>i bidragsprosjek</w:t>
      </w:r>
      <w:r w:rsidR="0027743D">
        <w:t xml:space="preserve">ter, oppdragsprosjekter og salg, </w:t>
      </w:r>
      <w:r w:rsidR="006F4548">
        <w:t xml:space="preserve">jf. </w:t>
      </w:r>
      <w:r w:rsidR="006F4548" w:rsidRPr="0027743D">
        <w:rPr>
          <w:lang w:val="en-US"/>
        </w:rPr>
        <w:t>BOA-</w:t>
      </w:r>
      <w:proofErr w:type="spellStart"/>
      <w:r w:rsidR="006F4548" w:rsidRPr="0027743D">
        <w:rPr>
          <w:lang w:val="en-US"/>
        </w:rPr>
        <w:t>reglementet</w:t>
      </w:r>
      <w:proofErr w:type="spellEnd"/>
      <w:r w:rsidR="006F4548">
        <w:rPr>
          <w:rStyle w:val="Fotnotereferanse"/>
        </w:rPr>
        <w:footnoteReference w:id="5"/>
      </w:r>
      <w:r w:rsidR="0027743D" w:rsidRPr="0027743D">
        <w:rPr>
          <w:lang w:val="en-US"/>
        </w:rPr>
        <w:t xml:space="preserve">, </w:t>
      </w:r>
      <w:proofErr w:type="spellStart"/>
      <w:r w:rsidR="0027743D" w:rsidRPr="0027743D">
        <w:rPr>
          <w:lang w:val="en-US"/>
        </w:rPr>
        <w:t>slik</w:t>
      </w:r>
      <w:proofErr w:type="spellEnd"/>
      <w:r w:rsidR="0027743D" w:rsidRPr="0027743D">
        <w:rPr>
          <w:lang w:val="en-US"/>
        </w:rPr>
        <w:t>:</w:t>
      </w:r>
    </w:p>
    <w:p w14:paraId="7F176ED5" w14:textId="5084304B" w:rsidR="001E1AD8" w:rsidRPr="0027743D" w:rsidRDefault="001606CB" w:rsidP="00D82B79">
      <w:pPr>
        <w:rPr>
          <w:lang w:val="en-US"/>
        </w:rPr>
      </w:pPr>
      <w:r>
        <w:rPr>
          <w:b/>
          <w:bCs/>
          <w:noProof/>
        </w:rPr>
        <mc:AlternateContent>
          <mc:Choice Requires="wps">
            <w:drawing>
              <wp:anchor distT="0" distB="0" distL="114300" distR="114300" simplePos="0" relativeHeight="251673600" behindDoc="0" locked="0" layoutInCell="1" allowOverlap="1" wp14:anchorId="1E5C4579" wp14:editId="12764988">
                <wp:simplePos x="0" y="0"/>
                <wp:positionH relativeFrom="margin">
                  <wp:align>left</wp:align>
                </wp:positionH>
                <wp:positionV relativeFrom="paragraph">
                  <wp:posOffset>167172</wp:posOffset>
                </wp:positionV>
                <wp:extent cx="5943600" cy="1958847"/>
                <wp:effectExtent l="0" t="0" r="19050" b="22860"/>
                <wp:wrapNone/>
                <wp:docPr id="4" name="Rektangel 4"/>
                <wp:cNvGraphicFramePr/>
                <a:graphic xmlns:a="http://schemas.openxmlformats.org/drawingml/2006/main">
                  <a:graphicData uri="http://schemas.microsoft.com/office/word/2010/wordprocessingShape">
                    <wps:wsp>
                      <wps:cNvSpPr/>
                      <wps:spPr>
                        <a:xfrm>
                          <a:off x="0" y="0"/>
                          <a:ext cx="5943600" cy="1958847"/>
                        </a:xfrm>
                        <a:prstGeom prst="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7F76B" id="Rektangel 4" o:spid="_x0000_s1026" style="position:absolute;margin-left:0;margin-top:13.15pt;width:468pt;height:154.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" filled="f" strokecolor="#0070c0" strokeweight="1.5pt">
                <w10:wrap anchorx="margin"/>
              </v:rect>
            </w:pict>
          </mc:Fallback>
        </mc:AlternateContent>
      </w:r>
    </w:p>
    <w:p w14:paraId="7487AEA0" w14:textId="3BF94DD7" w:rsidR="006803AD" w:rsidRPr="006803AD" w:rsidRDefault="00953BE7" w:rsidP="006803AD">
      <w:pPr>
        <w:ind w:left="708"/>
      </w:pPr>
      <w:r w:rsidRPr="7625745A">
        <w:rPr>
          <w:b/>
          <w:bCs/>
          <w:lang w:val="en-US"/>
        </w:rPr>
        <w:t>Ikke-</w:t>
      </w:r>
      <w:proofErr w:type="spellStart"/>
      <w:r w:rsidRPr="7625745A">
        <w:rPr>
          <w:b/>
          <w:bCs/>
          <w:lang w:val="en-US"/>
        </w:rPr>
        <w:t>økonomisk</w:t>
      </w:r>
      <w:proofErr w:type="spellEnd"/>
      <w:r w:rsidRPr="7625745A">
        <w:rPr>
          <w:b/>
          <w:bCs/>
          <w:lang w:val="en-US"/>
        </w:rPr>
        <w:t xml:space="preserve"> </w:t>
      </w:r>
      <w:proofErr w:type="spellStart"/>
      <w:r w:rsidRPr="7625745A">
        <w:rPr>
          <w:b/>
          <w:bCs/>
          <w:lang w:val="en-US"/>
        </w:rPr>
        <w:t>aktivitet</w:t>
      </w:r>
      <w:proofErr w:type="spellEnd"/>
      <w:r w:rsidRPr="7625745A">
        <w:rPr>
          <w:b/>
          <w:bCs/>
          <w:lang w:val="en-US"/>
        </w:rPr>
        <w:t xml:space="preserve"> (non-economic activity)</w:t>
      </w:r>
      <w:r w:rsidR="00152B3E" w:rsidRPr="7625745A">
        <w:rPr>
          <w:b/>
          <w:bCs/>
          <w:lang w:val="en-US"/>
        </w:rPr>
        <w:t>:</w:t>
      </w:r>
      <w:r w:rsidR="001B4790" w:rsidRPr="7625745A">
        <w:rPr>
          <w:b/>
          <w:bCs/>
          <w:lang w:val="en-US"/>
        </w:rPr>
        <w:t xml:space="preserve"> </w:t>
      </w:r>
      <w:r w:rsidRPr="00B11A8A">
        <w:rPr>
          <w:lang w:val="en-US"/>
        </w:rPr>
        <w:t>The Authority considers that the following activities are generally of a non-economic character:</w:t>
      </w:r>
      <w:r w:rsidR="00C27AE6" w:rsidRPr="00B11A8A">
        <w:rPr>
          <w:lang w:val="en-US"/>
        </w:rPr>
        <w:t xml:space="preserve"> </w:t>
      </w:r>
      <w:r w:rsidR="00A04DB3">
        <w:rPr>
          <w:lang w:val="en-US"/>
        </w:rPr>
        <w:t>“</w:t>
      </w:r>
      <w:r w:rsidRPr="5663A662">
        <w:rPr>
          <w:i/>
          <w:iCs/>
          <w:lang w:val="en-US"/>
        </w:rPr>
        <w:t xml:space="preserve">public education </w:t>
      </w:r>
      <w:proofErr w:type="spellStart"/>
      <w:r w:rsidRPr="5663A662">
        <w:rPr>
          <w:i/>
          <w:iCs/>
          <w:lang w:val="en-US"/>
        </w:rPr>
        <w:t>organised</w:t>
      </w:r>
      <w:proofErr w:type="spellEnd"/>
      <w:r w:rsidRPr="5663A662">
        <w:rPr>
          <w:i/>
          <w:iCs/>
          <w:lang w:val="en-US"/>
        </w:rPr>
        <w:t xml:space="preserve"> within the national educational system, predominantly or entirely funded by the State and supervised by the State is considered as a non-economic activity</w:t>
      </w:r>
      <w:r w:rsidR="00152B3E" w:rsidRPr="00B11A8A">
        <w:rPr>
          <w:rStyle w:val="Fotnotereferanse"/>
        </w:rPr>
        <w:footnoteReference w:id="6"/>
      </w:r>
      <w:r w:rsidR="00A04DB3" w:rsidRPr="5663A662">
        <w:rPr>
          <w:i/>
          <w:iCs/>
          <w:lang w:val="en-US"/>
        </w:rPr>
        <w:t>.”</w:t>
      </w:r>
      <w:r w:rsidR="002778C3" w:rsidRPr="5663A662">
        <w:rPr>
          <w:i/>
          <w:iCs/>
          <w:lang w:val="en-US"/>
        </w:rPr>
        <w:t xml:space="preserve"> </w:t>
      </w:r>
      <w:r w:rsidR="00DE0F62" w:rsidRPr="006803AD">
        <w:t>(</w:t>
      </w:r>
      <w:r w:rsidR="002778C3" w:rsidRPr="006803AD">
        <w:t xml:space="preserve">Utdanningstilbud som er en </w:t>
      </w:r>
      <w:r w:rsidR="007965E1" w:rsidRPr="006803AD">
        <w:t>d</w:t>
      </w:r>
      <w:r w:rsidR="00450040" w:rsidRPr="006803AD">
        <w:t xml:space="preserve">el av det </w:t>
      </w:r>
      <w:r w:rsidR="006803AD" w:rsidRPr="006803AD">
        <w:t>offentlig overvåkede/kontrollerte og finansierte utdanningssystemet</w:t>
      </w:r>
      <w:r w:rsidR="006803AD">
        <w:t>.)</w:t>
      </w:r>
    </w:p>
    <w:p w14:paraId="45C7DE98" w14:textId="6D01AF0F" w:rsidR="00953BE7" w:rsidRPr="00B11A8A" w:rsidRDefault="00953BE7" w:rsidP="00953BE7">
      <w:pPr>
        <w:ind w:left="708"/>
        <w:rPr>
          <w:b/>
        </w:rPr>
      </w:pPr>
      <w:r w:rsidRPr="00B11A8A">
        <w:rPr>
          <w:b/>
        </w:rPr>
        <w:t>Økonomisk aktivitet</w:t>
      </w:r>
      <w:r w:rsidR="00C27AE6" w:rsidRPr="00B11A8A">
        <w:rPr>
          <w:b/>
        </w:rPr>
        <w:t>:</w:t>
      </w:r>
      <w:r w:rsidR="001B4790" w:rsidRPr="00B11A8A">
        <w:rPr>
          <w:b/>
        </w:rPr>
        <w:t xml:space="preserve"> </w:t>
      </w:r>
      <w:r w:rsidRPr="00B11A8A">
        <w:t xml:space="preserve">EVU som ikke faller inn under </w:t>
      </w:r>
      <w:r w:rsidR="00152B3E" w:rsidRPr="00B11A8A">
        <w:t xml:space="preserve">definisjonen av </w:t>
      </w:r>
      <w:r w:rsidRPr="00B11A8A">
        <w:rPr>
          <w:i/>
        </w:rPr>
        <w:t>ikke-økonomisk aktivitet</w:t>
      </w:r>
      <w:r w:rsidR="00152B3E" w:rsidRPr="00B11A8A">
        <w:t xml:space="preserve"> over</w:t>
      </w:r>
      <w:r w:rsidR="00C27AE6" w:rsidRPr="00B11A8A">
        <w:t xml:space="preserve">. </w:t>
      </w:r>
    </w:p>
    <w:p w14:paraId="125405DE" w14:textId="0DB8D289" w:rsidR="00953BE7" w:rsidRPr="00953BE7" w:rsidRDefault="00953BE7" w:rsidP="00953BE7">
      <w:pPr>
        <w:ind w:left="708"/>
        <w:rPr>
          <w:b/>
        </w:rPr>
      </w:pPr>
    </w:p>
    <w:p w14:paraId="19A7BBD8" w14:textId="6A7E56F7" w:rsidR="00831884" w:rsidRDefault="00B76AD7" w:rsidP="00D82B79">
      <w:r>
        <w:rPr>
          <w:b/>
          <w:bCs/>
          <w:noProof/>
        </w:rPr>
        <mc:AlternateContent>
          <mc:Choice Requires="wps">
            <w:drawing>
              <wp:anchor distT="0" distB="0" distL="114300" distR="114300" simplePos="0" relativeHeight="251677696" behindDoc="0" locked="0" layoutInCell="1" allowOverlap="1" wp14:anchorId="0BDB3486" wp14:editId="363A56EA">
                <wp:simplePos x="0" y="0"/>
                <wp:positionH relativeFrom="margin">
                  <wp:align>left</wp:align>
                </wp:positionH>
                <wp:positionV relativeFrom="paragraph">
                  <wp:posOffset>152764</wp:posOffset>
                </wp:positionV>
                <wp:extent cx="5943600" cy="1683242"/>
                <wp:effectExtent l="0" t="0" r="19050" b="12700"/>
                <wp:wrapNone/>
                <wp:docPr id="8" name="Rektangel 8"/>
                <wp:cNvGraphicFramePr/>
                <a:graphic xmlns:a="http://schemas.openxmlformats.org/drawingml/2006/main">
                  <a:graphicData uri="http://schemas.microsoft.com/office/word/2010/wordprocessingShape">
                    <wps:wsp>
                      <wps:cNvSpPr/>
                      <wps:spPr>
                        <a:xfrm>
                          <a:off x="0" y="0"/>
                          <a:ext cx="5943600" cy="1683242"/>
                        </a:xfrm>
                        <a:prstGeom prst="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35772" id="Rektangel 8" o:spid="_x0000_s1026" style="position:absolute;margin-left:0;margin-top:12.05pt;width:468pt;height:132.5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" filled="f" strokecolor="#0070c0" strokeweight="1.5pt">
                <w10:wrap anchorx="margin"/>
              </v:rect>
            </w:pict>
          </mc:Fallback>
        </mc:AlternateContent>
      </w:r>
    </w:p>
    <w:p w14:paraId="0FFFC2BF" w14:textId="79091716" w:rsidR="00B76AD7" w:rsidRPr="00B11A8A" w:rsidRDefault="00B76AD7" w:rsidP="00B76AD7">
      <w:pPr>
        <w:ind w:left="708"/>
        <w:rPr>
          <w:i/>
        </w:rPr>
      </w:pPr>
      <w:r>
        <w:rPr>
          <w:b/>
          <w:bCs/>
        </w:rPr>
        <w:t>B</w:t>
      </w:r>
      <w:r w:rsidRPr="61515D21">
        <w:rPr>
          <w:b/>
          <w:bCs/>
        </w:rPr>
        <w:t xml:space="preserve">idrag: </w:t>
      </w:r>
      <w:r>
        <w:t xml:space="preserve">EVU hvor ekstern bidragsyter ikke krever kontroll på hvem som tas opp på. Institusjonen kan delfinansiere EVU-aktiviteten med egne midler. Bidrag er </w:t>
      </w:r>
      <w:r w:rsidRPr="00B11A8A">
        <w:rPr>
          <w:i/>
        </w:rPr>
        <w:t>ikke-økonomisk aktivitet.</w:t>
      </w:r>
    </w:p>
    <w:p w14:paraId="61DEE211" w14:textId="77777777" w:rsidR="00B76AD7" w:rsidRDefault="00B76AD7" w:rsidP="00B76AD7">
      <w:pPr>
        <w:ind w:left="708"/>
      </w:pPr>
      <w:r w:rsidRPr="61515D21">
        <w:rPr>
          <w:b/>
          <w:bCs/>
        </w:rPr>
        <w:t xml:space="preserve">Oppdrag: </w:t>
      </w:r>
      <w:r>
        <w:t xml:space="preserve">EVU hvor oppdragsgiver bestemmer hvem som skal delta. Oppdragsgiver skal dekke alle kostnader, både direkte og indirekte kostnader. I tillegg skal det beregnes en rimelig fortjeneste på oppdraget. Oppdrag er </w:t>
      </w:r>
      <w:r w:rsidRPr="00107F4A">
        <w:rPr>
          <w:i/>
        </w:rPr>
        <w:t>økonomisk aktivitet</w:t>
      </w:r>
      <w:r>
        <w:t>.</w:t>
      </w:r>
    </w:p>
    <w:p w14:paraId="7986196A" w14:textId="77777777" w:rsidR="00831884" w:rsidRDefault="00831884" w:rsidP="00D82B79"/>
    <w:p w14:paraId="0CEB7B54" w14:textId="279CD9DC" w:rsidR="00831884" w:rsidRDefault="00B76AD7" w:rsidP="00D82B79">
      <w:r>
        <w:rPr>
          <w:b/>
          <w:bCs/>
          <w:noProof/>
        </w:rPr>
        <w:lastRenderedPageBreak/>
        <mc:AlternateContent>
          <mc:Choice Requires="wps">
            <w:drawing>
              <wp:anchor distT="0" distB="0" distL="114300" distR="114300" simplePos="0" relativeHeight="251646976" behindDoc="0" locked="0" layoutInCell="1" allowOverlap="1" wp14:anchorId="2376374A" wp14:editId="6B9F9A0E">
                <wp:simplePos x="0" y="0"/>
                <wp:positionH relativeFrom="margin">
                  <wp:align>left</wp:align>
                </wp:positionH>
                <wp:positionV relativeFrom="paragraph">
                  <wp:posOffset>171359</wp:posOffset>
                </wp:positionV>
                <wp:extent cx="5943600" cy="2134404"/>
                <wp:effectExtent l="0" t="0" r="19050" b="18415"/>
                <wp:wrapNone/>
                <wp:docPr id="12" name="Rektangel 12"/>
                <wp:cNvGraphicFramePr/>
                <a:graphic xmlns:a="http://schemas.openxmlformats.org/drawingml/2006/main">
                  <a:graphicData uri="http://schemas.microsoft.com/office/word/2010/wordprocessingShape">
                    <wps:wsp>
                      <wps:cNvSpPr/>
                      <wps:spPr>
                        <a:xfrm>
                          <a:off x="0" y="0"/>
                          <a:ext cx="5943600" cy="2134404"/>
                        </a:xfrm>
                        <a:prstGeom prst="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02F7D" id="Rektangel 12" o:spid="_x0000_s1026" style="position:absolute;margin-left:0;margin-top:13.5pt;width:468pt;height:168.0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" filled="f" strokecolor="#0070c0" strokeweight="1.5pt">
                <w10:wrap anchorx="margin"/>
              </v:rect>
            </w:pict>
          </mc:Fallback>
        </mc:AlternateContent>
      </w:r>
    </w:p>
    <w:p w14:paraId="195418A4" w14:textId="54BA2917" w:rsidR="00EB71F5" w:rsidRDefault="1268772F" w:rsidP="00B76AD7">
      <w:pPr>
        <w:ind w:left="708"/>
      </w:pPr>
      <w:r w:rsidRPr="1268772F">
        <w:rPr>
          <w:b/>
          <w:bCs/>
        </w:rPr>
        <w:t xml:space="preserve">Salg: </w:t>
      </w:r>
      <w:r>
        <w:t>EVU</w:t>
      </w:r>
      <w:r w:rsidR="00711737">
        <w:t xml:space="preserve"> </w:t>
      </w:r>
      <w:r>
        <w:t xml:space="preserve">hvor det er fri påmelding og enkeltstudenter betaler deltakeravgift. </w:t>
      </w:r>
      <w:r w:rsidR="00711737">
        <w:t xml:space="preserve">Salg kan være både </w:t>
      </w:r>
      <w:r w:rsidR="00711737" w:rsidRPr="00107F4A">
        <w:rPr>
          <w:i/>
        </w:rPr>
        <w:t>ikke-økonomisk</w:t>
      </w:r>
      <w:r w:rsidR="00711737">
        <w:t xml:space="preserve"> og </w:t>
      </w:r>
      <w:r w:rsidR="00711737" w:rsidRPr="00107F4A">
        <w:rPr>
          <w:i/>
        </w:rPr>
        <w:t>økonomisk aktivitet</w:t>
      </w:r>
      <w:r w:rsidR="00711737">
        <w:t xml:space="preserve"> avhengig av om </w:t>
      </w:r>
      <w:r w:rsidR="002042C4">
        <w:t>det anses som del av det offentlige kontrollerte og finansierte utdanningssystemet</w:t>
      </w:r>
      <w:r w:rsidR="00EB71F5">
        <w:t xml:space="preserve"> eller ikke:</w:t>
      </w:r>
    </w:p>
    <w:p w14:paraId="371C439A" w14:textId="26F5CB93" w:rsidR="00EB71F5" w:rsidRDefault="1268772F" w:rsidP="00EB71F5">
      <w:pPr>
        <w:pStyle w:val="Listeavsnitt"/>
        <w:numPr>
          <w:ilvl w:val="0"/>
          <w:numId w:val="50"/>
        </w:numPr>
      </w:pPr>
      <w:r>
        <w:t xml:space="preserve">For salg </w:t>
      </w:r>
      <w:r w:rsidR="001E1AD8" w:rsidRPr="00711737">
        <w:t xml:space="preserve">som er </w:t>
      </w:r>
      <w:r w:rsidR="001E1AD8" w:rsidRPr="46D54BE2">
        <w:rPr>
          <w:i/>
          <w:iCs/>
        </w:rPr>
        <w:t>økonomisk aktivitet</w:t>
      </w:r>
      <w:r w:rsidR="001E1AD8">
        <w:t xml:space="preserve">, </w:t>
      </w:r>
      <w:r>
        <w:t xml:space="preserve">skal studenten(e) dekke alle direkte og indirekte kostnader som aktiviteten </w:t>
      </w:r>
      <w:r w:rsidRPr="001E1AD8">
        <w:t>fører med seg, og det skal beregnes en rimelig fortjeneste</w:t>
      </w:r>
      <w:r w:rsidR="00555246" w:rsidRPr="001E1AD8">
        <w:rPr>
          <w:rStyle w:val="Fotnotereferanse"/>
        </w:rPr>
        <w:footnoteReference w:id="7"/>
      </w:r>
      <w:r w:rsidR="001E1AD8" w:rsidRPr="001E1AD8">
        <w:t>.</w:t>
      </w:r>
      <w:r w:rsidR="00711737">
        <w:t xml:space="preserve"> </w:t>
      </w:r>
    </w:p>
    <w:p w14:paraId="3E8F83D8" w14:textId="77777777" w:rsidR="00152B3E" w:rsidRDefault="00152B3E" w:rsidP="00152B3E">
      <w:pPr>
        <w:pStyle w:val="Listeavsnitt"/>
        <w:ind w:left="1428"/>
      </w:pPr>
    </w:p>
    <w:p w14:paraId="1E5A1FD4" w14:textId="219AB3D9" w:rsidR="00D82B79" w:rsidRPr="00EB71F5" w:rsidRDefault="00711737" w:rsidP="00EB71F5">
      <w:pPr>
        <w:pStyle w:val="Listeavsnitt"/>
        <w:numPr>
          <w:ilvl w:val="0"/>
          <w:numId w:val="50"/>
        </w:numPr>
      </w:pPr>
      <w:r>
        <w:t xml:space="preserve">For salg som er </w:t>
      </w:r>
      <w:r w:rsidRPr="00EB71F5">
        <w:rPr>
          <w:i/>
        </w:rPr>
        <w:t>ikke-økonomisk aktivitet</w:t>
      </w:r>
      <w:r w:rsidR="00EB71F5">
        <w:t>, beregnes kostnader uten fortjeneste.</w:t>
      </w:r>
      <w:r w:rsidR="002042C4">
        <w:t xml:space="preserve"> Her kan institusjonen gå inn med egenfinansiering.</w:t>
      </w:r>
    </w:p>
    <w:p w14:paraId="45BC0DD9" w14:textId="77777777" w:rsidR="002042C4" w:rsidRDefault="002042C4" w:rsidP="000C1448">
      <w:pPr>
        <w:ind w:left="708"/>
      </w:pPr>
    </w:p>
    <w:p w14:paraId="0150CCFB" w14:textId="08D624EA" w:rsidR="002042C4" w:rsidRDefault="002042C4" w:rsidP="002042C4">
      <w:r>
        <w:t xml:space="preserve">Merk at </w:t>
      </w:r>
      <w:proofErr w:type="spellStart"/>
      <w:r w:rsidRPr="00711737">
        <w:t>NOKUTs</w:t>
      </w:r>
      <w:proofErr w:type="spellEnd"/>
      <w:r w:rsidRPr="00711737">
        <w:t xml:space="preserve"> tilsynsforskrift er den samme for all studiepoenggivende utdanning. Det vil si at det er de samme kvalitetskravene som skal oppfylles, uavhengig</w:t>
      </w:r>
      <w:r w:rsidR="00E42DB4">
        <w:t xml:space="preserve"> av utdanning, eller utdannings</w:t>
      </w:r>
      <w:r w:rsidRPr="00711737">
        <w:t>institusjon.</w:t>
      </w:r>
    </w:p>
    <w:p w14:paraId="1A52DC9B" w14:textId="6D609E13" w:rsidR="00B76AD7" w:rsidRDefault="00B76AD7">
      <w:pPr>
        <w:spacing w:after="160" w:afterAutospacing="0" w:line="259" w:lineRule="auto"/>
      </w:pPr>
      <w:r>
        <w:br w:type="page"/>
      </w:r>
    </w:p>
    <w:p w14:paraId="46627B88" w14:textId="77777777" w:rsidR="00F71F55" w:rsidRDefault="1268772F" w:rsidP="00F71F55">
      <w:pPr>
        <w:pStyle w:val="Overskrift2"/>
        <w:numPr>
          <w:ilvl w:val="0"/>
          <w:numId w:val="23"/>
        </w:numPr>
      </w:pPr>
      <w:bookmarkStart w:id="8" w:name="_Toc516731419"/>
      <w:r>
        <w:lastRenderedPageBreak/>
        <w:t>Kostnadsberegning og egenfinansiering</w:t>
      </w:r>
      <w:bookmarkEnd w:id="8"/>
      <w:r>
        <w:t xml:space="preserve"> </w:t>
      </w:r>
    </w:p>
    <w:p w14:paraId="201DDACE" w14:textId="77777777" w:rsidR="00077A27" w:rsidRDefault="00077A27" w:rsidP="00077A27">
      <w:pPr>
        <w:pStyle w:val="Overskrift3"/>
        <w:numPr>
          <w:ilvl w:val="1"/>
          <w:numId w:val="23"/>
        </w:numPr>
      </w:pPr>
      <w:bookmarkStart w:id="9" w:name="_Toc516731420"/>
      <w:r>
        <w:t>TDI</w:t>
      </w:r>
      <w:r w:rsidR="00723B30">
        <w:t>-</w:t>
      </w:r>
      <w:r>
        <w:t>modell for utdanning</w:t>
      </w:r>
      <w:bookmarkEnd w:id="9"/>
    </w:p>
    <w:p w14:paraId="345FD625" w14:textId="1A924A57" w:rsidR="00F71F55" w:rsidRDefault="28257F58" w:rsidP="00F71F55">
      <w:proofErr w:type="spellStart"/>
      <w:r>
        <w:t>UHRs</w:t>
      </w:r>
      <w:proofErr w:type="spellEnd"/>
      <w:r>
        <w:t xml:space="preserve"> TDI-arbeidsgruppe har levert forslag til en modell for å beregne totale kostnader for EVU basert på metodikken i TDI-modellen for forskning. UHR send</w:t>
      </w:r>
      <w:r w:rsidR="006A0F73">
        <w:t>er</w:t>
      </w:r>
      <w:r>
        <w:t xml:space="preserve"> forslaget på høring sammen med denne rapporten. Totalkostnadsmodellen vil gi institusjonene et grunnlag for å beregne kostnader og dermed priser, for emner og kurs som tilbys som EVU.</w:t>
      </w:r>
    </w:p>
    <w:p w14:paraId="5BA723F4" w14:textId="77777777" w:rsidR="00077A27" w:rsidRPr="00077A27" w:rsidRDefault="00077A27" w:rsidP="00077A27">
      <w:pPr>
        <w:pStyle w:val="Overskrift3"/>
        <w:numPr>
          <w:ilvl w:val="1"/>
          <w:numId w:val="23"/>
        </w:numPr>
      </w:pPr>
      <w:bookmarkStart w:id="10" w:name="_Toc516731421"/>
      <w:r w:rsidRPr="00077A27">
        <w:t>Beregning av egenfinansiering</w:t>
      </w:r>
      <w:bookmarkEnd w:id="10"/>
    </w:p>
    <w:p w14:paraId="361B31AA" w14:textId="467F8BE5" w:rsidR="00077A27" w:rsidRDefault="00077A27" w:rsidP="00077A27">
      <w:pPr>
        <w:pStyle w:val="NormalWeb"/>
        <w:spacing w:before="77" w:beforeAutospacing="0" w:after="0" w:afterAutospacing="0"/>
        <w:rPr>
          <w:rFonts w:eastAsiaTheme="majorEastAsia"/>
          <w:szCs w:val="20"/>
        </w:rPr>
      </w:pPr>
      <w:r w:rsidRPr="003A1BBE">
        <w:rPr>
          <w:rFonts w:eastAsiaTheme="majorEastAsia"/>
          <w:szCs w:val="20"/>
        </w:rPr>
        <w:t>K</w:t>
      </w:r>
      <w:r>
        <w:rPr>
          <w:rFonts w:eastAsiaTheme="majorEastAsia"/>
          <w:szCs w:val="20"/>
        </w:rPr>
        <w:t xml:space="preserve">unnskapsdepartementets </w:t>
      </w:r>
      <w:r w:rsidRPr="003A1BBE">
        <w:rPr>
          <w:rFonts w:eastAsiaTheme="majorEastAsia"/>
          <w:szCs w:val="20"/>
        </w:rPr>
        <w:t>finansieringskategorier med basis</w:t>
      </w:r>
      <w:r w:rsidR="0027743D">
        <w:rPr>
          <w:rFonts w:eastAsiaTheme="majorEastAsia"/>
          <w:szCs w:val="20"/>
        </w:rPr>
        <w:t>-</w:t>
      </w:r>
      <w:r w:rsidRPr="003A1BBE">
        <w:rPr>
          <w:rFonts w:eastAsiaTheme="majorEastAsia"/>
          <w:szCs w:val="20"/>
        </w:rPr>
        <w:t xml:space="preserve"> og resultatkomponent</w:t>
      </w:r>
      <w:r>
        <w:rPr>
          <w:rFonts w:eastAsiaTheme="majorEastAsia"/>
          <w:szCs w:val="20"/>
        </w:rPr>
        <w:t xml:space="preserve"> er gitt i </w:t>
      </w:r>
      <w:r w:rsidR="0027743D">
        <w:rPr>
          <w:rFonts w:eastAsiaTheme="majorEastAsia"/>
          <w:szCs w:val="20"/>
        </w:rPr>
        <w:t>Statsbudsjettet</w:t>
      </w:r>
      <w:r w:rsidR="0027743D">
        <w:rPr>
          <w:rStyle w:val="Fotnotereferanse"/>
          <w:rFonts w:eastAsiaTheme="majorEastAsia"/>
          <w:szCs w:val="20"/>
        </w:rPr>
        <w:footnoteReference w:id="8"/>
      </w:r>
      <w:r w:rsidR="0027743D">
        <w:rPr>
          <w:rFonts w:eastAsiaTheme="majorEastAsia"/>
          <w:szCs w:val="20"/>
        </w:rPr>
        <w:t>, jf. vedlegg 1</w:t>
      </w:r>
      <w:r w:rsidRPr="003A1BBE">
        <w:rPr>
          <w:rFonts w:eastAsiaTheme="majorEastAsia"/>
          <w:szCs w:val="20"/>
        </w:rPr>
        <w:t>.</w:t>
      </w:r>
      <w:r>
        <w:rPr>
          <w:rFonts w:eastAsiaTheme="majorEastAsia"/>
          <w:szCs w:val="20"/>
        </w:rPr>
        <w:t xml:space="preserve"> Til sammen utgjør basis og resultatkomponent stykkprisfinansieringen for en fullfinansiert studieplass. </w:t>
      </w:r>
    </w:p>
    <w:p w14:paraId="4C4D216C" w14:textId="3C0A1E12" w:rsidR="00077A27" w:rsidRDefault="00077A27" w:rsidP="006A0F73">
      <w:pPr>
        <w:pStyle w:val="NormalWeb"/>
        <w:spacing w:before="77" w:beforeAutospacing="0" w:after="0" w:afterAutospacing="0"/>
        <w:rPr>
          <w:rFonts w:asciiTheme="majorEastAsia" w:eastAsiaTheme="majorEastAsia" w:hAnsiTheme="majorEastAsia" w:cstheme="majorEastAsia"/>
        </w:rPr>
      </w:pPr>
      <w:r w:rsidRPr="1268772F">
        <w:rPr>
          <w:rFonts w:asciiTheme="majorEastAsia" w:eastAsiaTheme="majorEastAsia" w:hAnsiTheme="majorEastAsia" w:cstheme="majorEastAsia"/>
        </w:rPr>
        <w:t>Ved beregning av egenfinansieringsprosent for EVU</w:t>
      </w:r>
      <w:r w:rsidR="006A0F73" w:rsidRPr="006A0F73">
        <w:rPr>
          <w:rFonts w:asciiTheme="minorHAnsi" w:eastAsiaTheme="minorEastAsia" w:hAnsiTheme="minorHAnsi" w:cstheme="minorBidi"/>
          <w:color w:val="000000" w:themeColor="text1"/>
          <w:sz w:val="22"/>
          <w:szCs w:val="22"/>
        </w:rPr>
        <w:t xml:space="preserve"> </w:t>
      </w:r>
      <w:r w:rsidR="006A0F73" w:rsidRPr="006A0F73">
        <w:rPr>
          <w:rFonts w:asciiTheme="majorEastAsia" w:eastAsiaTheme="majorEastAsia" w:hAnsiTheme="majorEastAsia" w:cstheme="majorEastAsia"/>
        </w:rPr>
        <w:t xml:space="preserve">som har </w:t>
      </w:r>
      <w:r w:rsidR="006A0F73" w:rsidRPr="001606CB">
        <w:rPr>
          <w:rFonts w:asciiTheme="majorEastAsia" w:eastAsiaTheme="majorEastAsia" w:hAnsiTheme="majorEastAsia" w:cstheme="majorEastAsia"/>
          <w:i/>
        </w:rPr>
        <w:t xml:space="preserve">delvis </w:t>
      </w:r>
      <w:r w:rsidR="006A0F73" w:rsidRPr="006A0F73">
        <w:rPr>
          <w:rFonts w:asciiTheme="majorEastAsia" w:eastAsiaTheme="majorEastAsia" w:hAnsiTheme="majorEastAsia" w:cstheme="majorEastAsia"/>
        </w:rPr>
        <w:t>ekstern finansiering</w:t>
      </w:r>
      <w:r w:rsidRPr="1268772F">
        <w:rPr>
          <w:rFonts w:asciiTheme="majorEastAsia" w:eastAsiaTheme="majorEastAsia" w:hAnsiTheme="majorEastAsia" w:cstheme="majorEastAsia"/>
        </w:rPr>
        <w:t xml:space="preserve">, er det </w:t>
      </w:r>
      <w:r w:rsidRPr="46D54BE2">
        <w:rPr>
          <w:rFonts w:asciiTheme="majorEastAsia" w:eastAsiaTheme="majorEastAsia" w:hAnsiTheme="majorEastAsia" w:cstheme="majorEastAsia"/>
          <w:i/>
          <w:iCs/>
        </w:rPr>
        <w:t xml:space="preserve">stykkprisfinansieringen </w:t>
      </w:r>
      <w:r w:rsidRPr="1268772F">
        <w:rPr>
          <w:rFonts w:asciiTheme="majorEastAsia" w:eastAsiaTheme="majorEastAsia" w:hAnsiTheme="majorEastAsia" w:cstheme="majorEastAsia"/>
        </w:rPr>
        <w:t>fra KD</w:t>
      </w:r>
      <w:r w:rsidRPr="1268772F">
        <w:rPr>
          <w:rStyle w:val="Fotnotereferanse"/>
          <w:rFonts w:asciiTheme="majorEastAsia" w:eastAsiaTheme="majorEastAsia" w:hAnsiTheme="majorEastAsia" w:cstheme="majorEastAsia"/>
        </w:rPr>
        <w:footnoteReference w:id="9"/>
      </w:r>
      <w:r w:rsidRPr="1268772F">
        <w:rPr>
          <w:rFonts w:asciiTheme="majorEastAsia" w:eastAsiaTheme="majorEastAsia" w:hAnsiTheme="majorEastAsia" w:cstheme="majorEastAsia"/>
        </w:rPr>
        <w:t xml:space="preserve"> som legges til grunn, </w:t>
      </w:r>
      <w:r w:rsidRPr="46D54BE2">
        <w:rPr>
          <w:rFonts w:asciiTheme="majorEastAsia" w:eastAsiaTheme="majorEastAsia" w:hAnsiTheme="majorEastAsia" w:cstheme="majorEastAsia"/>
          <w:i/>
          <w:iCs/>
        </w:rPr>
        <w:t>ikke</w:t>
      </w:r>
      <w:r w:rsidRPr="1268772F">
        <w:rPr>
          <w:rFonts w:asciiTheme="majorEastAsia" w:eastAsiaTheme="majorEastAsia" w:hAnsiTheme="majorEastAsia" w:cstheme="majorEastAsia"/>
        </w:rPr>
        <w:t xml:space="preserve"> </w:t>
      </w:r>
      <w:r w:rsidRPr="46D54BE2">
        <w:rPr>
          <w:rFonts w:asciiTheme="majorEastAsia" w:eastAsiaTheme="majorEastAsia" w:hAnsiTheme="majorEastAsia" w:cstheme="majorEastAsia"/>
          <w:i/>
          <w:iCs/>
        </w:rPr>
        <w:t>faktiske kostnader</w:t>
      </w:r>
      <w:r w:rsidRPr="1268772F">
        <w:rPr>
          <w:rFonts w:asciiTheme="majorEastAsia" w:eastAsiaTheme="majorEastAsia" w:hAnsiTheme="majorEastAsia" w:cstheme="majorEastAsia"/>
        </w:rPr>
        <w:t xml:space="preserve"> for utdanningen</w:t>
      </w:r>
      <w:r w:rsidR="00991DA5">
        <w:rPr>
          <w:rFonts w:asciiTheme="majorEastAsia" w:eastAsiaTheme="majorEastAsia" w:hAnsiTheme="majorEastAsia" w:cstheme="majorEastAsia"/>
        </w:rPr>
        <w:t xml:space="preserve"> </w:t>
      </w:r>
      <w:r w:rsidRPr="1268772F">
        <w:rPr>
          <w:rFonts w:asciiTheme="majorEastAsia" w:eastAsiaTheme="majorEastAsia" w:hAnsiTheme="majorEastAsia" w:cstheme="majorEastAsia"/>
        </w:rPr>
        <w:t xml:space="preserve">(som kan finnes ved hjelp av ny TDI-modell for EVU). Det betyr at </w:t>
      </w:r>
      <w:r w:rsidR="00CC357C" w:rsidRPr="1268772F">
        <w:rPr>
          <w:rFonts w:asciiTheme="majorEastAsia" w:eastAsiaTheme="majorEastAsia" w:hAnsiTheme="majorEastAsia" w:cstheme="majorEastAsia"/>
        </w:rPr>
        <w:t xml:space="preserve">KD antar at </w:t>
      </w:r>
      <w:r w:rsidRPr="1268772F">
        <w:rPr>
          <w:rFonts w:asciiTheme="majorEastAsia" w:eastAsiaTheme="majorEastAsia" w:hAnsiTheme="majorEastAsia" w:cstheme="majorEastAsia"/>
        </w:rPr>
        <w:t xml:space="preserve">gjennomsnittlige kostnader for studieprogrammene </w:t>
      </w:r>
      <w:r w:rsidR="00743397" w:rsidRPr="1268772F">
        <w:rPr>
          <w:rFonts w:asciiTheme="majorEastAsia" w:eastAsiaTheme="majorEastAsia" w:hAnsiTheme="majorEastAsia" w:cstheme="majorEastAsia"/>
        </w:rPr>
        <w:t>er</w:t>
      </w:r>
      <w:r w:rsidRPr="1268772F">
        <w:rPr>
          <w:rFonts w:asciiTheme="majorEastAsia" w:eastAsiaTheme="majorEastAsia" w:hAnsiTheme="majorEastAsia" w:cstheme="majorEastAsia"/>
        </w:rPr>
        <w:t xml:space="preserve"> lik stykkprisfinansieringen. Dette er en rimelig </w:t>
      </w:r>
      <w:r w:rsidR="008237CA" w:rsidRPr="1268772F">
        <w:rPr>
          <w:rFonts w:asciiTheme="majorEastAsia" w:eastAsiaTheme="majorEastAsia" w:hAnsiTheme="majorEastAsia" w:cstheme="majorEastAsia"/>
        </w:rPr>
        <w:t xml:space="preserve">forutsetning </w:t>
      </w:r>
      <w:r w:rsidRPr="1268772F">
        <w:rPr>
          <w:rFonts w:asciiTheme="majorEastAsia" w:eastAsiaTheme="majorEastAsia" w:hAnsiTheme="majorEastAsia" w:cstheme="majorEastAsia"/>
        </w:rPr>
        <w:t>selv om institusjonene fritt kan disponere mer eller mindre av rammebevilgningen til et enkelt studieprogram. En slik gjennomsnittsberegning basert på stykkprisfinansiering gjør at vi unngår tidkrevende arbeid for å dokumentere kostnader for hvert enkelt emne.</w:t>
      </w:r>
      <w:r w:rsidRPr="1268772F">
        <w:rPr>
          <w:rStyle w:val="Fotnotereferanse"/>
          <w:rFonts w:asciiTheme="majorEastAsia" w:eastAsiaTheme="majorEastAsia" w:hAnsiTheme="majorEastAsia" w:cstheme="majorEastAsia"/>
        </w:rPr>
        <w:footnoteReference w:id="10"/>
      </w:r>
    </w:p>
    <w:p w14:paraId="4388D8D2" w14:textId="77777777" w:rsidR="00077A27" w:rsidRDefault="00077A27" w:rsidP="00077A27">
      <w:pPr>
        <w:pStyle w:val="NormalWeb"/>
        <w:spacing w:before="77" w:beforeAutospacing="0" w:after="0" w:afterAutospacing="0"/>
        <w:rPr>
          <w:rFonts w:eastAsiaTheme="majorEastAsia"/>
          <w:szCs w:val="20"/>
        </w:rPr>
      </w:pPr>
    </w:p>
    <w:p w14:paraId="73F2BBAA" w14:textId="77777777" w:rsidR="00077A27" w:rsidRPr="003A1BBE" w:rsidRDefault="00077A27" w:rsidP="00077A27">
      <w:pPr>
        <w:rPr>
          <w:shd w:val="clear" w:color="auto" w:fill="FFFFFF"/>
        </w:rPr>
      </w:pPr>
      <w:r w:rsidRPr="003A1BBE">
        <w:rPr>
          <w:shd w:val="clear" w:color="auto" w:fill="FFFFFF"/>
        </w:rPr>
        <w:t>I DBH defineres egenfinansieringsprosenten</w:t>
      </w:r>
      <w:r>
        <w:rPr>
          <w:shd w:val="clear" w:color="auto" w:fill="FFFFFF"/>
        </w:rPr>
        <w:t xml:space="preserve"> for etter- og videreutdanning</w:t>
      </w:r>
      <w:r w:rsidRPr="003A1BBE">
        <w:rPr>
          <w:shd w:val="clear" w:color="auto" w:fill="FFFFFF"/>
        </w:rPr>
        <w:t xml:space="preserve"> slik:</w:t>
      </w:r>
    </w:p>
    <w:p w14:paraId="42165E9F" w14:textId="753AA04F" w:rsidR="00BA2C91" w:rsidRPr="00C50002" w:rsidRDefault="00077A27" w:rsidP="006A0F73">
      <w:pPr>
        <w:pStyle w:val="NormalWeb"/>
        <w:numPr>
          <w:ilvl w:val="0"/>
          <w:numId w:val="26"/>
        </w:numPr>
        <w:spacing w:before="77" w:beforeAutospacing="0" w:after="0" w:afterAutospacing="0"/>
        <w:rPr>
          <w:i/>
          <w:iCs/>
        </w:rPr>
      </w:pPr>
      <w:r w:rsidRPr="00C50002">
        <w:rPr>
          <w:shd w:val="clear" w:color="auto" w:fill="FFFFFF"/>
        </w:rPr>
        <w:t>For programmer der det IKKE gis uttelling for oppnådde kvalifikasjoner</w:t>
      </w:r>
      <w:r w:rsidR="00EB71F5" w:rsidRPr="00C50002">
        <w:rPr>
          <w:shd w:val="clear" w:color="auto" w:fill="FFFFFF"/>
        </w:rPr>
        <w:t xml:space="preserve"> </w:t>
      </w:r>
      <w:r w:rsidR="001E1AD8" w:rsidRPr="00C50002">
        <w:rPr>
          <w:rStyle w:val="Fotnotereferanse"/>
          <w:shd w:val="clear" w:color="auto" w:fill="FFFFFF"/>
        </w:rPr>
        <w:footnoteReference w:id="11"/>
      </w:r>
      <w:r w:rsidRPr="00C50002">
        <w:rPr>
          <w:shd w:val="clear" w:color="auto" w:fill="FFFFFF"/>
        </w:rPr>
        <w:t>:</w:t>
      </w:r>
      <w:r w:rsidRPr="00C50002">
        <w:rPr>
          <w:shd w:val="clear" w:color="auto" w:fill="FFFFFF"/>
        </w:rPr>
        <w:br/>
      </w:r>
      <w:r w:rsidRPr="00C50002">
        <w:rPr>
          <w:i/>
          <w:iCs/>
          <w:shd w:val="clear" w:color="auto" w:fill="FFFFFF"/>
        </w:rPr>
        <w:t xml:space="preserve">((Basis + Uttelling studiepoeng ) - Ekstern finansiering ) /(Basis + Uttelling studiepoeng ) * 100 = egenfinansieringsprosent. </w:t>
      </w:r>
    </w:p>
    <w:p w14:paraId="6F38C8F5" w14:textId="77777777" w:rsidR="00BA2C91" w:rsidRPr="0079275D" w:rsidRDefault="00BA2C91" w:rsidP="00BA2C91">
      <w:pPr>
        <w:pStyle w:val="NormalWeb"/>
        <w:spacing w:before="77" w:beforeAutospacing="0" w:after="0" w:afterAutospacing="0"/>
        <w:ind w:left="720"/>
        <w:rPr>
          <w:i/>
          <w:iCs/>
        </w:rPr>
      </w:pPr>
    </w:p>
    <w:p w14:paraId="70825EFB" w14:textId="77777777" w:rsidR="00077A27" w:rsidRPr="004A37D1" w:rsidRDefault="00077A27" w:rsidP="006A0F73">
      <w:pPr>
        <w:pStyle w:val="NormalWeb"/>
        <w:numPr>
          <w:ilvl w:val="0"/>
          <w:numId w:val="26"/>
        </w:numPr>
        <w:spacing w:before="77" w:beforeAutospacing="0" w:after="0" w:afterAutospacing="0"/>
        <w:rPr>
          <w:i/>
          <w:iCs/>
        </w:rPr>
      </w:pPr>
      <w:r w:rsidRPr="00FC7248">
        <w:rPr>
          <w:shd w:val="clear" w:color="auto" w:fill="FFFFFF"/>
        </w:rPr>
        <w:t>For programmer der det gis uttelling for oppnådde kvalifikasjoner (kandidat):</w:t>
      </w:r>
      <w:r w:rsidRPr="00FC7248">
        <w:rPr>
          <w:shd w:val="clear" w:color="auto" w:fill="FFFFFF"/>
        </w:rPr>
        <w:br/>
      </w:r>
      <w:r w:rsidRPr="00FC7248">
        <w:rPr>
          <w:i/>
          <w:iCs/>
          <w:shd w:val="clear" w:color="auto" w:fill="FFFFFF"/>
        </w:rPr>
        <w:t>((Basis + Uttelling studiepoeng + (Uttelling kandidater / Programmets studiepoeng / 60) ) - Ekstern finansiering ) /(Basis + Uttelling studiepoeng + (Uttelling kandidater / Programmets studiepoeng / 60) ) * 100 = egenfinansieringsprosent </w:t>
      </w:r>
    </w:p>
    <w:p w14:paraId="5482A650" w14:textId="77777777" w:rsidR="005F5AB4" w:rsidRDefault="005F5AB4" w:rsidP="00077A27">
      <w:pPr>
        <w:pStyle w:val="NormalWeb"/>
        <w:spacing w:before="77" w:beforeAutospacing="0" w:after="0" w:afterAutospacing="0"/>
        <w:rPr>
          <w:rFonts w:eastAsiaTheme="majorEastAsia"/>
          <w:szCs w:val="20"/>
        </w:rPr>
      </w:pPr>
    </w:p>
    <w:p w14:paraId="333330E4" w14:textId="5771A34E" w:rsidR="005F5AB4" w:rsidRDefault="005F5AB4" w:rsidP="1268772F">
      <w:pPr>
        <w:pStyle w:val="NormalWeb"/>
        <w:spacing w:before="77" w:beforeAutospacing="0" w:after="0" w:afterAutospacing="0"/>
        <w:rPr>
          <w:rFonts w:eastAsiaTheme="majorEastAsia"/>
        </w:rPr>
      </w:pPr>
      <w:r w:rsidRPr="1268772F">
        <w:rPr>
          <w:rFonts w:eastAsiaTheme="majorEastAsia"/>
        </w:rPr>
        <w:t xml:space="preserve">Egenfinansieringsprosenten beregnes </w:t>
      </w:r>
      <w:r w:rsidR="00BA2C91" w:rsidRPr="1268772F">
        <w:rPr>
          <w:rFonts w:eastAsiaTheme="majorEastAsia"/>
        </w:rPr>
        <w:t>altså for alle</w:t>
      </w:r>
      <w:r w:rsidRPr="1268772F">
        <w:rPr>
          <w:rFonts w:eastAsiaTheme="majorEastAsia"/>
        </w:rPr>
        <w:t xml:space="preserve"> studieprogram</w:t>
      </w:r>
      <w:r w:rsidR="00B9533C" w:rsidRPr="1268772F">
        <w:rPr>
          <w:rFonts w:eastAsiaTheme="majorEastAsia"/>
        </w:rPr>
        <w:t>,</w:t>
      </w:r>
      <w:r w:rsidRPr="1268772F">
        <w:rPr>
          <w:rFonts w:eastAsiaTheme="majorEastAsia"/>
        </w:rPr>
        <w:t xml:space="preserve"> og </w:t>
      </w:r>
      <w:r w:rsidR="00B9533C" w:rsidRPr="1268772F">
        <w:rPr>
          <w:rFonts w:eastAsiaTheme="majorEastAsia"/>
        </w:rPr>
        <w:t xml:space="preserve">den </w:t>
      </w:r>
      <w:r w:rsidRPr="1268772F">
        <w:rPr>
          <w:rFonts w:eastAsiaTheme="majorEastAsia"/>
        </w:rPr>
        <w:t>avhenger både av finansieringskategori i finansieringssystemet og av</w:t>
      </w:r>
      <w:r w:rsidR="00BA2C91" w:rsidRPr="1268772F">
        <w:rPr>
          <w:rFonts w:eastAsiaTheme="majorEastAsia"/>
        </w:rPr>
        <w:t xml:space="preserve"> størrelsen på den</w:t>
      </w:r>
      <w:r w:rsidRPr="1268772F">
        <w:rPr>
          <w:rFonts w:eastAsiaTheme="majorEastAsia"/>
        </w:rPr>
        <w:t xml:space="preserve"> ekstern</w:t>
      </w:r>
      <w:r w:rsidR="00B9533C" w:rsidRPr="1268772F">
        <w:rPr>
          <w:rFonts w:eastAsiaTheme="majorEastAsia"/>
        </w:rPr>
        <w:t>e</w:t>
      </w:r>
      <w:r w:rsidRPr="1268772F">
        <w:rPr>
          <w:rFonts w:eastAsiaTheme="majorEastAsia"/>
        </w:rPr>
        <w:t xml:space="preserve"> finansiering</w:t>
      </w:r>
      <w:r w:rsidR="00B9533C" w:rsidRPr="1268772F">
        <w:rPr>
          <w:rFonts w:eastAsiaTheme="majorEastAsia"/>
        </w:rPr>
        <w:t>en</w:t>
      </w:r>
      <w:r w:rsidRPr="1268772F">
        <w:rPr>
          <w:rFonts w:eastAsiaTheme="majorEastAsia"/>
        </w:rPr>
        <w:t xml:space="preserve"> (fra student eller andre som dekker kostnaden for studenten).</w:t>
      </w:r>
      <w:r w:rsidR="00BA2C91" w:rsidRPr="1268772F">
        <w:rPr>
          <w:rFonts w:eastAsiaTheme="majorEastAsia"/>
        </w:rPr>
        <w:t xml:space="preserve"> </w:t>
      </w:r>
    </w:p>
    <w:p w14:paraId="3D92CB11" w14:textId="060EA5B7" w:rsidR="006F4548" w:rsidRDefault="006F4548" w:rsidP="1268772F">
      <w:pPr>
        <w:pStyle w:val="NormalWeb"/>
        <w:spacing w:before="77" w:beforeAutospacing="0" w:after="0" w:afterAutospacing="0"/>
        <w:rPr>
          <w:rFonts w:eastAsiaTheme="majorEastAsia"/>
        </w:rPr>
      </w:pPr>
    </w:p>
    <w:p w14:paraId="2BF155A5" w14:textId="75D14447" w:rsidR="006F4548" w:rsidRDefault="006F4548" w:rsidP="006F4548">
      <w:pPr>
        <w:pStyle w:val="NormalWeb"/>
        <w:spacing w:before="77" w:beforeAutospacing="0" w:after="0" w:afterAutospacing="0"/>
        <w:rPr>
          <w:rFonts w:eastAsiaTheme="majorEastAsia"/>
        </w:rPr>
      </w:pPr>
      <w:r>
        <w:rPr>
          <w:rFonts w:eastAsiaTheme="majorEastAsia"/>
        </w:rPr>
        <w:t xml:space="preserve">Summen av egenbetaling (det studenten betaler) og egenfinansiering (det institusjonen finansierer) er lik kostnader gitt i KDs finansieringssystem. Summen av egenfinansieringsprosent og egenbetalingsprosent er 100 </w:t>
      </w:r>
      <w:r w:rsidR="00141BE2">
        <w:rPr>
          <w:rFonts w:eastAsiaTheme="majorEastAsia"/>
        </w:rPr>
        <w:t>prosent.</w:t>
      </w:r>
    </w:p>
    <w:p w14:paraId="4DE76EE6" w14:textId="77777777" w:rsidR="005F5AB4" w:rsidRDefault="005F5AB4" w:rsidP="00077A27">
      <w:pPr>
        <w:pStyle w:val="NormalWeb"/>
        <w:spacing w:before="77" w:beforeAutospacing="0" w:after="0" w:afterAutospacing="0"/>
        <w:rPr>
          <w:rFonts w:eastAsiaTheme="majorEastAsia"/>
          <w:szCs w:val="20"/>
        </w:rPr>
      </w:pPr>
    </w:p>
    <w:p w14:paraId="42963FC0" w14:textId="7E4E12C2" w:rsidR="00B9533C" w:rsidRDefault="00B9533C" w:rsidP="1268772F">
      <w:pPr>
        <w:pStyle w:val="NormalWeb"/>
        <w:spacing w:before="77" w:beforeAutospacing="0" w:after="0" w:afterAutospacing="0"/>
        <w:rPr>
          <w:rFonts w:eastAsiaTheme="majorEastAsia"/>
        </w:rPr>
      </w:pPr>
      <w:r w:rsidRPr="1268772F">
        <w:rPr>
          <w:rFonts w:eastAsiaTheme="majorEastAsia"/>
        </w:rPr>
        <w:t xml:space="preserve">Vedlegg 1 inneholder et case som viser hvilken </w:t>
      </w:r>
      <w:r w:rsidR="00871136" w:rsidRPr="1268772F">
        <w:rPr>
          <w:rFonts w:eastAsiaTheme="majorEastAsia"/>
        </w:rPr>
        <w:t xml:space="preserve">total </w:t>
      </w:r>
      <w:r w:rsidRPr="1268772F">
        <w:rPr>
          <w:rFonts w:eastAsiaTheme="majorEastAsia"/>
        </w:rPr>
        <w:t xml:space="preserve">finansiering en institusjonen </w:t>
      </w:r>
      <w:r w:rsidR="00871136" w:rsidRPr="1268772F">
        <w:rPr>
          <w:rFonts w:eastAsiaTheme="majorEastAsia"/>
        </w:rPr>
        <w:t>kan</w:t>
      </w:r>
      <w:r w:rsidRPr="1268772F">
        <w:rPr>
          <w:rFonts w:eastAsiaTheme="majorEastAsia"/>
        </w:rPr>
        <w:t xml:space="preserve"> </w:t>
      </w:r>
      <w:r w:rsidR="00871136" w:rsidRPr="1268772F">
        <w:rPr>
          <w:rFonts w:eastAsiaTheme="majorEastAsia"/>
        </w:rPr>
        <w:t>få avhengig av egenfinansieringsprosent på et studieprogram i kategori C</w:t>
      </w:r>
      <w:r w:rsidR="00EB71F5">
        <w:rPr>
          <w:rFonts w:eastAsiaTheme="majorEastAsia"/>
        </w:rPr>
        <w:t xml:space="preserve"> uten kandidatproduksjon</w:t>
      </w:r>
      <w:r w:rsidR="00871136" w:rsidRPr="1268772F">
        <w:rPr>
          <w:rFonts w:eastAsiaTheme="majorEastAsia"/>
        </w:rPr>
        <w:t>.</w:t>
      </w:r>
    </w:p>
    <w:p w14:paraId="3F303443" w14:textId="77777777" w:rsidR="00EB71F5" w:rsidRDefault="00EB71F5" w:rsidP="1268772F">
      <w:pPr>
        <w:pStyle w:val="NormalWeb"/>
        <w:spacing w:before="77" w:beforeAutospacing="0" w:after="0" w:afterAutospacing="0"/>
        <w:rPr>
          <w:rFonts w:eastAsiaTheme="majorEastAsia"/>
        </w:rPr>
      </w:pPr>
    </w:p>
    <w:p w14:paraId="19188C8F" w14:textId="67DFD8C7" w:rsidR="00831884" w:rsidRDefault="00831884">
      <w:pPr>
        <w:spacing w:after="160" w:afterAutospacing="0" w:line="259" w:lineRule="auto"/>
        <w:rPr>
          <w:rFonts w:eastAsiaTheme="majorEastAsia"/>
        </w:rPr>
      </w:pPr>
    </w:p>
    <w:p w14:paraId="1C8D88D7" w14:textId="66F7DBF4" w:rsidR="009E45C1" w:rsidRDefault="009E45C1">
      <w:pPr>
        <w:spacing w:after="160" w:afterAutospacing="0" w:line="259" w:lineRule="auto"/>
        <w:rPr>
          <w:rFonts w:eastAsiaTheme="majorEastAsia"/>
        </w:rPr>
      </w:pPr>
      <w:r>
        <w:rPr>
          <w:rFonts w:eastAsiaTheme="majorEastAsia"/>
        </w:rPr>
        <w:br w:type="page"/>
      </w:r>
    </w:p>
    <w:p w14:paraId="66C86B84" w14:textId="59C2D677" w:rsidR="00C42012" w:rsidRDefault="00B72C60" w:rsidP="00D82B79">
      <w:pPr>
        <w:pStyle w:val="Overskrift2"/>
        <w:numPr>
          <w:ilvl w:val="0"/>
          <w:numId w:val="23"/>
        </w:numPr>
      </w:pPr>
      <w:bookmarkStart w:id="11" w:name="_Toc516731422"/>
      <w:r>
        <w:lastRenderedPageBreak/>
        <w:t>Forståelse av relevante regelverk</w:t>
      </w:r>
      <w:bookmarkEnd w:id="11"/>
    </w:p>
    <w:p w14:paraId="2DDD44E8" w14:textId="55370D86" w:rsidR="00AD673A" w:rsidRDefault="0050388A" w:rsidP="00AD673A">
      <w:r>
        <w:t xml:space="preserve">Dette kapittelet </w:t>
      </w:r>
      <w:r w:rsidR="00AD673A" w:rsidRPr="00F22A34">
        <w:t xml:space="preserve">samsvarer med </w:t>
      </w:r>
      <w:r>
        <w:t xml:space="preserve">et </w:t>
      </w:r>
      <w:r w:rsidR="00AD673A" w:rsidRPr="00F22A34">
        <w:t>notat som</w:t>
      </w:r>
      <w:r w:rsidR="00AD673A">
        <w:t xml:space="preserve"> arbeidsgruppen utarbeidet og som </w:t>
      </w:r>
      <w:r w:rsidR="00AD673A" w:rsidRPr="00F22A34">
        <w:t xml:space="preserve">UHR sendte </w:t>
      </w:r>
      <w:r w:rsidR="00AD673A">
        <w:t xml:space="preserve">til </w:t>
      </w:r>
      <w:r w:rsidR="00AD673A" w:rsidRPr="00F22A34">
        <w:t>KD 26.04.18</w:t>
      </w:r>
      <w:r w:rsidR="00AD673A">
        <w:t xml:space="preserve">. Vi oppsummerer i notatet relevante regelverk og foreslår endringer i egenbetalingsforskriften. Siden det ikke er realistisk å få endring i forskriften innenfor rimelig tidshorisont, har arbeidsgruppen </w:t>
      </w:r>
      <w:r w:rsidR="00AD673A" w:rsidRPr="00AD673A">
        <w:t xml:space="preserve">gitt sin fortolkning </w:t>
      </w:r>
      <w:r>
        <w:t xml:space="preserve">av </w:t>
      </w:r>
      <w:r w:rsidR="00AD673A" w:rsidRPr="00AD673A">
        <w:t>egenbetalingsforskriften</w:t>
      </w:r>
      <w:r w:rsidR="00AD673A">
        <w:t xml:space="preserve"> i kapittel 6.</w:t>
      </w:r>
    </w:p>
    <w:p w14:paraId="441AC473" w14:textId="05519220" w:rsidR="00AD673A" w:rsidRDefault="00B012D1" w:rsidP="00AD673A">
      <w:r>
        <w:t>Vi gjengir</w:t>
      </w:r>
      <w:r w:rsidR="008D419D">
        <w:t xml:space="preserve"> </w:t>
      </w:r>
      <w:r w:rsidR="00AD673A">
        <w:t>likevel brevet til KD som innspill til gjennomgangen av</w:t>
      </w:r>
      <w:r w:rsidR="002C2D20" w:rsidRPr="002C2D20">
        <w:t xml:space="preserve"> universitets- og høyskoleloven, med tilhørende forskrifter</w:t>
      </w:r>
      <w:r w:rsidR="0050388A">
        <w:t xml:space="preserve">. </w:t>
      </w:r>
      <w:r w:rsidR="00AD673A">
        <w:t>Arbeidsgruppens fortolkning i kapittel 6 bygger på redegjørelsen i notatet til KD.</w:t>
      </w:r>
    </w:p>
    <w:p w14:paraId="2FBA5BA6" w14:textId="77777777" w:rsidR="00B11A8A" w:rsidRDefault="00B11A8A" w:rsidP="00F22A34">
      <w:pPr>
        <w:pBdr>
          <w:bottom w:val="single" w:sz="6" w:space="1" w:color="auto"/>
        </w:pBdr>
      </w:pPr>
    </w:p>
    <w:p w14:paraId="278D4D89" w14:textId="6490EC5D" w:rsidR="00F22A34" w:rsidRPr="00991100" w:rsidRDefault="009639BA" w:rsidP="009639BA">
      <w:pPr>
        <w:pStyle w:val="Overskrift3"/>
        <w:numPr>
          <w:ilvl w:val="1"/>
          <w:numId w:val="23"/>
        </w:numPr>
        <w:rPr>
          <w:rFonts w:ascii="Calibri" w:hAnsi="Calibri"/>
        </w:rPr>
      </w:pPr>
      <w:bookmarkStart w:id="12" w:name="_Toc516731423"/>
      <w:r w:rsidRPr="00991100">
        <w:rPr>
          <w:rFonts w:ascii="Calibri" w:hAnsi="Calibri"/>
        </w:rPr>
        <w:t>Relevant regelverk</w:t>
      </w:r>
      <w:bookmarkEnd w:id="12"/>
    </w:p>
    <w:p w14:paraId="72E45390" w14:textId="77777777" w:rsidR="00F22A34" w:rsidRPr="00991100" w:rsidRDefault="00F22A34" w:rsidP="28257F58">
      <w:pPr>
        <w:rPr>
          <w:rFonts w:ascii="Calibri" w:eastAsia="Calibri" w:hAnsi="Calibri" w:cs="Calibri"/>
        </w:rPr>
      </w:pPr>
      <w:r w:rsidRPr="7625745A">
        <w:rPr>
          <w:rFonts w:ascii="Calibri" w:eastAsia="Calibri" w:hAnsi="Calibri" w:cs="Calibri"/>
        </w:rPr>
        <w:t>Etter- og videreutdanningsaktivitetene forholder seg til egenbetalingsforskriften</w:t>
      </w:r>
      <w:r w:rsidR="00712F51" w:rsidRPr="7625745A">
        <w:rPr>
          <w:rStyle w:val="Fotnotereferanse"/>
          <w:rFonts w:ascii="Calibri" w:eastAsia="Calibri" w:hAnsi="Calibri" w:cs="Calibri"/>
        </w:rPr>
        <w:footnoteReference w:id="12"/>
      </w:r>
      <w:r w:rsidRPr="7625745A">
        <w:rPr>
          <w:rFonts w:ascii="Calibri" w:eastAsia="Calibri" w:hAnsi="Calibri" w:cs="Calibri"/>
        </w:rPr>
        <w:t>, Reglement F-07-13 (BOA-reglementet)</w:t>
      </w:r>
      <w:r w:rsidR="00712F51" w:rsidRPr="7625745A">
        <w:rPr>
          <w:rStyle w:val="Fotnotereferanse"/>
          <w:rFonts w:ascii="Calibri" w:eastAsia="Calibri" w:hAnsi="Calibri" w:cs="Calibri"/>
        </w:rPr>
        <w:footnoteReference w:id="13"/>
      </w:r>
      <w:r w:rsidRPr="7625745A">
        <w:rPr>
          <w:rFonts w:ascii="Calibri" w:eastAsia="Calibri" w:hAnsi="Calibri" w:cs="Calibri"/>
        </w:rPr>
        <w:t xml:space="preserve"> og statsstøtteregelverket</w:t>
      </w:r>
      <w:r w:rsidR="00712F51" w:rsidRPr="7625745A">
        <w:rPr>
          <w:rStyle w:val="Fotnotereferanse"/>
          <w:rFonts w:ascii="Calibri" w:eastAsia="Calibri" w:hAnsi="Calibri" w:cs="Calibri"/>
        </w:rPr>
        <w:footnoteReference w:id="14"/>
      </w:r>
      <w:r w:rsidRPr="7625745A">
        <w:rPr>
          <w:rFonts w:ascii="Calibri" w:eastAsia="Calibri" w:hAnsi="Calibri" w:cs="Calibri"/>
        </w:rPr>
        <w:t>. Nedenfor følger en nærmere gjennomgang av de aktuelle regelverkene.</w:t>
      </w:r>
    </w:p>
    <w:p w14:paraId="1FA7F760" w14:textId="77777777" w:rsidR="00F22A34" w:rsidRPr="00991100" w:rsidRDefault="00F22A34" w:rsidP="00F22A34">
      <w:pPr>
        <w:numPr>
          <w:ilvl w:val="0"/>
          <w:numId w:val="29"/>
        </w:numPr>
        <w:rPr>
          <w:rFonts w:ascii="Calibri" w:hAnsi="Calibri"/>
          <w:b/>
        </w:rPr>
      </w:pPr>
      <w:r w:rsidRPr="00991100">
        <w:rPr>
          <w:rFonts w:ascii="Calibri" w:hAnsi="Calibri"/>
          <w:b/>
        </w:rPr>
        <w:t>Egenbetalingsforskriften</w:t>
      </w:r>
    </w:p>
    <w:p w14:paraId="09C9D63A" w14:textId="1FC1580E" w:rsidR="00A945B7" w:rsidRPr="00991100" w:rsidRDefault="00F22A34" w:rsidP="00F22A34">
      <w:pPr>
        <w:rPr>
          <w:rFonts w:ascii="Calibri" w:hAnsi="Calibri"/>
        </w:rPr>
      </w:pPr>
      <w:r w:rsidRPr="00991100">
        <w:rPr>
          <w:rFonts w:ascii="Calibri" w:hAnsi="Calibri"/>
        </w:rPr>
        <w:t xml:space="preserve">Utgangspunktet i Norge er at utdanning skal være gratis. Det innebærer at statlige universiteter og høyskoler ikke kan kreve egenbetaling fra studenter for ordinære utdanninger som fører frem til en grad eller yrkesutdanning, jf. universitets- og høyskoleloven § 7-1. </w:t>
      </w:r>
    </w:p>
    <w:p w14:paraId="1F2C12F7" w14:textId="77777777" w:rsidR="00F22A34" w:rsidRPr="00991100" w:rsidRDefault="1268772F" w:rsidP="00F22A34">
      <w:pPr>
        <w:rPr>
          <w:rFonts w:ascii="Calibri" w:hAnsi="Calibri"/>
        </w:rPr>
      </w:pPr>
      <w:r w:rsidRPr="00991100">
        <w:rPr>
          <w:rFonts w:ascii="Calibri" w:hAnsi="Calibri"/>
        </w:rPr>
        <w:t>Unntak fra gratisprinsippet er regulert i egenbetalingsforskriften. Det følger av forskriften § 1-1 at egenbetalingsforskriften gjelder for:</w:t>
      </w:r>
    </w:p>
    <w:p w14:paraId="4E3AFF8A" w14:textId="77777777" w:rsidR="00F22A34" w:rsidRPr="00991100" w:rsidRDefault="00F22A34" w:rsidP="00F22A34">
      <w:pPr>
        <w:rPr>
          <w:rFonts w:ascii="Calibri" w:hAnsi="Calibri"/>
          <w:b/>
          <w:i/>
        </w:rPr>
      </w:pPr>
      <w:r w:rsidRPr="00991100">
        <w:rPr>
          <w:rFonts w:ascii="Calibri" w:hAnsi="Calibri"/>
          <w:i/>
        </w:rPr>
        <w:t xml:space="preserve">institusjoner med virksomhet regulert av lov 1. april 2005 nr. 15 om universiteter og høyskoler. </w:t>
      </w:r>
      <w:r w:rsidRPr="00991100">
        <w:rPr>
          <w:rFonts w:ascii="Calibri" w:hAnsi="Calibri"/>
          <w:b/>
          <w:i/>
        </w:rPr>
        <w:t>Forskriften regulerer institusjonenes adgang til å kreve egenbetaling for studietilbud som er rettet mot enkeltstudenter</w:t>
      </w:r>
      <w:r w:rsidRPr="00991100">
        <w:rPr>
          <w:rFonts w:ascii="Calibri" w:hAnsi="Calibri"/>
          <w:i/>
        </w:rPr>
        <w:t>, betaling for andre utgifter knyttet til studietilbud, vederlag for eksamenskandidater uten</w:t>
      </w:r>
      <w:r w:rsidRPr="00991100">
        <w:rPr>
          <w:rFonts w:ascii="Calibri" w:hAnsi="Calibri"/>
        </w:rPr>
        <w:t xml:space="preserve"> </w:t>
      </w:r>
      <w:r w:rsidRPr="00991100">
        <w:rPr>
          <w:rFonts w:ascii="Calibri" w:hAnsi="Calibri"/>
          <w:i/>
        </w:rPr>
        <w:t xml:space="preserve">eksamensrett, samt private institusjoners disponering av egenbetaling og statstilskudd. </w:t>
      </w:r>
      <w:r w:rsidRPr="00991100">
        <w:rPr>
          <w:rFonts w:ascii="Calibri" w:hAnsi="Calibri"/>
          <w:b/>
          <w:i/>
        </w:rPr>
        <w:t>Forskriften gjelder ikke studietilbud som tilbys som oppdrag.</w:t>
      </w:r>
    </w:p>
    <w:p w14:paraId="486A1E3C" w14:textId="77777777" w:rsidR="00F22A34" w:rsidRPr="00991100" w:rsidRDefault="00F22A34" w:rsidP="00F22A34">
      <w:pPr>
        <w:rPr>
          <w:rFonts w:ascii="Calibri" w:hAnsi="Calibri"/>
        </w:rPr>
      </w:pPr>
      <w:r w:rsidRPr="00991100">
        <w:rPr>
          <w:rFonts w:ascii="Calibri" w:hAnsi="Calibri"/>
        </w:rPr>
        <w:t xml:space="preserve">Oppdrag er definert i § 1-2: </w:t>
      </w:r>
    </w:p>
    <w:tbl>
      <w:tblPr>
        <w:tblW w:w="5372" w:type="pct"/>
        <w:tblInd w:w="630" w:type="dxa"/>
        <w:tblCellMar>
          <w:top w:w="15" w:type="dxa"/>
          <w:left w:w="15" w:type="dxa"/>
          <w:bottom w:w="15" w:type="dxa"/>
          <w:right w:w="15" w:type="dxa"/>
        </w:tblCellMar>
        <w:tblLook w:val="04A0" w:firstRow="1" w:lastRow="0" w:firstColumn="1" w:lastColumn="0" w:noHBand="0" w:noVBand="1"/>
      </w:tblPr>
      <w:tblGrid>
        <w:gridCol w:w="37"/>
        <w:gridCol w:w="36"/>
        <w:gridCol w:w="4837"/>
        <w:gridCol w:w="4837"/>
      </w:tblGrid>
      <w:tr w:rsidR="00F22A34" w:rsidRPr="00991100" w14:paraId="186057FF" w14:textId="77777777" w:rsidTr="00F22A34">
        <w:trPr>
          <w:gridBefore w:val="1"/>
        </w:trPr>
        <w:tc>
          <w:tcPr>
            <w:tcW w:w="0" w:type="auto"/>
            <w:shd w:val="clear" w:color="auto" w:fill="auto"/>
            <w:vAlign w:val="center"/>
            <w:hideMark/>
          </w:tcPr>
          <w:p w14:paraId="2A16BA1E" w14:textId="77777777" w:rsidR="00F22A34" w:rsidRPr="00991100" w:rsidRDefault="00F22A34" w:rsidP="00F22A34">
            <w:pPr>
              <w:rPr>
                <w:rFonts w:ascii="Calibri" w:hAnsi="Calibri"/>
              </w:rPr>
            </w:pPr>
          </w:p>
        </w:tc>
        <w:tc>
          <w:tcPr>
            <w:tcW w:w="0" w:type="auto"/>
            <w:gridSpan w:val="2"/>
            <w:shd w:val="clear" w:color="auto" w:fill="auto"/>
            <w:vAlign w:val="center"/>
            <w:hideMark/>
          </w:tcPr>
          <w:p w14:paraId="44EECDF7" w14:textId="77777777" w:rsidR="00F22A34" w:rsidRPr="00991100" w:rsidRDefault="00F22A34" w:rsidP="00F22A34">
            <w:pPr>
              <w:rPr>
                <w:rFonts w:ascii="Calibri" w:hAnsi="Calibri"/>
                <w:i/>
              </w:rPr>
            </w:pPr>
            <w:r w:rsidRPr="00991100">
              <w:rPr>
                <w:rFonts w:ascii="Calibri" w:hAnsi="Calibri"/>
                <w:i/>
              </w:rPr>
              <w:t xml:space="preserve">omsetning av forsknings-, undervisnings- og andre tjenester mot vederlag, og </w:t>
            </w:r>
            <w:r w:rsidRPr="00991100">
              <w:rPr>
                <w:rFonts w:ascii="Calibri" w:hAnsi="Calibri"/>
                <w:b/>
                <w:i/>
              </w:rPr>
              <w:t>som ikke er rettet mot enkeltstudenter.</w:t>
            </w:r>
          </w:p>
        </w:tc>
      </w:tr>
      <w:tr w:rsidR="00F22A34" w:rsidRPr="00991100" w14:paraId="04B0F04F" w14:textId="77777777" w:rsidTr="00F22A34">
        <w:trPr>
          <w:gridAfter w:val="1"/>
        </w:trPr>
        <w:tc>
          <w:tcPr>
            <w:tcW w:w="0" w:type="auto"/>
            <w:shd w:val="clear" w:color="auto" w:fill="auto"/>
            <w:vAlign w:val="center"/>
          </w:tcPr>
          <w:p w14:paraId="431C8E41" w14:textId="77777777" w:rsidR="00F22A34" w:rsidRPr="00991100" w:rsidRDefault="00F22A34" w:rsidP="00F22A34">
            <w:pPr>
              <w:rPr>
                <w:rFonts w:ascii="Calibri" w:hAnsi="Calibri"/>
              </w:rPr>
            </w:pPr>
          </w:p>
        </w:tc>
        <w:tc>
          <w:tcPr>
            <w:tcW w:w="0" w:type="auto"/>
            <w:gridSpan w:val="2"/>
            <w:shd w:val="clear" w:color="auto" w:fill="auto"/>
            <w:vAlign w:val="center"/>
          </w:tcPr>
          <w:p w14:paraId="398A2B6E" w14:textId="77777777" w:rsidR="00F22A34" w:rsidRPr="00991100" w:rsidRDefault="00F22A34" w:rsidP="00F22A34">
            <w:pPr>
              <w:rPr>
                <w:rFonts w:ascii="Calibri" w:hAnsi="Calibri"/>
                <w:i/>
                <w:iCs/>
              </w:rPr>
            </w:pPr>
          </w:p>
        </w:tc>
      </w:tr>
    </w:tbl>
    <w:p w14:paraId="12FFB5E8" w14:textId="77777777" w:rsidR="00F22A34" w:rsidRPr="00991100" w:rsidRDefault="00F22A34" w:rsidP="00F22A34">
      <w:pPr>
        <w:rPr>
          <w:rFonts w:ascii="Calibri" w:hAnsi="Calibri"/>
        </w:rPr>
      </w:pPr>
      <w:r w:rsidRPr="00991100">
        <w:rPr>
          <w:rFonts w:ascii="Calibri" w:hAnsi="Calibri"/>
        </w:rPr>
        <w:lastRenderedPageBreak/>
        <w:t>Den økonomiske aktiviteten ved institusjonene, dvs. oppdragsvirksomheten, er regulert av annet regelverk, bl.a. BOA-reglementet.</w:t>
      </w:r>
    </w:p>
    <w:p w14:paraId="76F24963" w14:textId="77777777" w:rsidR="00F22A34" w:rsidRPr="00991100" w:rsidRDefault="00F22A34" w:rsidP="00F22A34">
      <w:pPr>
        <w:rPr>
          <w:rFonts w:ascii="Calibri" w:hAnsi="Calibri"/>
        </w:rPr>
      </w:pPr>
      <w:r w:rsidRPr="00991100">
        <w:rPr>
          <w:rFonts w:ascii="Calibri" w:hAnsi="Calibri"/>
        </w:rPr>
        <w:t>Av egenbetalingsforskriften § 3-2 fremgår når det er lov å ta betalt fra enkeltstudenter:</w:t>
      </w:r>
    </w:p>
    <w:p w14:paraId="47F65F70" w14:textId="77777777" w:rsidR="00F22A34" w:rsidRPr="00991100" w:rsidRDefault="00F22A34" w:rsidP="00F22A34">
      <w:pPr>
        <w:rPr>
          <w:rFonts w:ascii="Calibri" w:hAnsi="Calibri"/>
          <w:i/>
          <w:iCs/>
        </w:rPr>
      </w:pPr>
      <w:r w:rsidRPr="00991100">
        <w:rPr>
          <w:rFonts w:ascii="Calibri" w:hAnsi="Calibri"/>
          <w:i/>
        </w:rPr>
        <w:t>§ 3-2.</w:t>
      </w:r>
      <w:r w:rsidRPr="00991100">
        <w:rPr>
          <w:rFonts w:ascii="Calibri" w:hAnsi="Calibri"/>
          <w:i/>
          <w:iCs/>
        </w:rPr>
        <w:t>Unntak - egenbetaling for kurs og studieprogrammer</w:t>
      </w:r>
    </w:p>
    <w:p w14:paraId="51B82AEC" w14:textId="77777777" w:rsidR="007A2D65" w:rsidRPr="00991100" w:rsidRDefault="007A2D65" w:rsidP="007A2D65">
      <w:pPr>
        <w:rPr>
          <w:rFonts w:ascii="Calibri" w:hAnsi="Calibri"/>
          <w:i/>
        </w:rPr>
      </w:pPr>
      <w:r w:rsidRPr="00991100">
        <w:rPr>
          <w:rFonts w:ascii="Calibri" w:hAnsi="Calibri"/>
          <w:i/>
        </w:rPr>
        <w:t>(1) Statlige institusjoner kan kreve egenbetaling i følgende tilfeller:</w:t>
      </w:r>
    </w:p>
    <w:p w14:paraId="21537468" w14:textId="77777777" w:rsidR="007A2D65" w:rsidRPr="00991100" w:rsidRDefault="007A2D65" w:rsidP="007A2D65">
      <w:pPr>
        <w:ind w:left="708"/>
        <w:rPr>
          <w:rFonts w:ascii="Calibri" w:hAnsi="Calibri"/>
          <w:i/>
        </w:rPr>
      </w:pPr>
      <w:r w:rsidRPr="00991100">
        <w:rPr>
          <w:rFonts w:ascii="Calibri" w:hAnsi="Calibri"/>
          <w:i/>
        </w:rPr>
        <w:t>a) for kurs.</w:t>
      </w:r>
    </w:p>
    <w:p w14:paraId="19A57700" w14:textId="77777777" w:rsidR="007A2D65" w:rsidRPr="00991100" w:rsidRDefault="007A2D65" w:rsidP="007A2D65">
      <w:pPr>
        <w:ind w:left="708"/>
        <w:rPr>
          <w:rFonts w:ascii="Calibri" w:hAnsi="Calibri"/>
          <w:i/>
        </w:rPr>
      </w:pPr>
      <w:r w:rsidRPr="00991100">
        <w:rPr>
          <w:rFonts w:ascii="Calibri" w:hAnsi="Calibri"/>
          <w:i/>
        </w:rPr>
        <w:t>b) for fag/emner som normalt ikke er del av studieprogram som fører fram til grad eller yrkesutdanning.</w:t>
      </w:r>
    </w:p>
    <w:p w14:paraId="7BD2FDD5" w14:textId="77777777" w:rsidR="007A2D65" w:rsidRPr="00991100" w:rsidRDefault="007A2D65" w:rsidP="007A2D65">
      <w:pPr>
        <w:ind w:left="708"/>
        <w:rPr>
          <w:rFonts w:ascii="Calibri" w:hAnsi="Calibri"/>
          <w:i/>
        </w:rPr>
      </w:pPr>
      <w:r w:rsidRPr="00991100">
        <w:rPr>
          <w:rFonts w:ascii="Calibri" w:hAnsi="Calibri"/>
          <w:i/>
        </w:rPr>
        <w:t>c) for erfaringsbaserte mastergradsstudier.</w:t>
      </w:r>
    </w:p>
    <w:p w14:paraId="6860D57A" w14:textId="77777777" w:rsidR="007A2D65" w:rsidRPr="00991100" w:rsidRDefault="007A2D65" w:rsidP="007A2D65">
      <w:pPr>
        <w:ind w:left="708"/>
        <w:rPr>
          <w:rFonts w:ascii="Calibri" w:hAnsi="Calibri"/>
          <w:i/>
        </w:rPr>
      </w:pPr>
      <w:r w:rsidRPr="00991100">
        <w:rPr>
          <w:rFonts w:ascii="Calibri" w:hAnsi="Calibri"/>
          <w:i/>
        </w:rPr>
        <w:t>d) av studenter som fyller opp ledige plasser på studieprogram eller fag/emner som er oppdragsfinansiert.</w:t>
      </w:r>
    </w:p>
    <w:p w14:paraId="65EAA852" w14:textId="77777777" w:rsidR="00F22A34" w:rsidRPr="00991100" w:rsidRDefault="00F22A34" w:rsidP="007A2D65">
      <w:pPr>
        <w:rPr>
          <w:rFonts w:ascii="Calibri" w:hAnsi="Calibri"/>
          <w:i/>
          <w:vanish/>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072"/>
      </w:tblGrid>
      <w:tr w:rsidR="00F22A34" w:rsidRPr="00991100" w14:paraId="4ECEF6D5" w14:textId="77777777" w:rsidTr="007A2D65">
        <w:tc>
          <w:tcPr>
            <w:tcW w:w="0" w:type="auto"/>
            <w:shd w:val="clear" w:color="auto" w:fill="auto"/>
            <w:hideMark/>
          </w:tcPr>
          <w:p w14:paraId="76484D6B" w14:textId="77777777" w:rsidR="00F22A34" w:rsidRPr="00991100" w:rsidRDefault="00F22A34" w:rsidP="00F22A34">
            <w:pPr>
              <w:rPr>
                <w:rFonts w:ascii="Calibri" w:hAnsi="Calibri"/>
                <w:i/>
              </w:rPr>
            </w:pPr>
            <w:r w:rsidRPr="00991100">
              <w:rPr>
                <w:rFonts w:ascii="Calibri" w:hAnsi="Calibri"/>
                <w:i/>
              </w:rPr>
              <w:t>(2) Egenbetalingen kan dekke kostnadene fullt ut, eller delvis ved at institusjonen finansierer deler av kostnadene.</w:t>
            </w:r>
          </w:p>
        </w:tc>
      </w:tr>
    </w:tbl>
    <w:p w14:paraId="74E0380C" w14:textId="77777777" w:rsidR="00F22A34" w:rsidRPr="00991100" w:rsidRDefault="00F22A34" w:rsidP="007A2D65">
      <w:pPr>
        <w:rPr>
          <w:rFonts w:ascii="Calibri" w:hAnsi="Calibri"/>
          <w:i/>
          <w:vanish/>
        </w:rPr>
      </w:pPr>
      <w:bookmarkStart w:id="13" w:name="a3"/>
      <w:bookmarkStart w:id="14" w:name="AVSNITT_3"/>
      <w:bookmarkEnd w:id="13"/>
      <w:bookmarkEnd w:id="14"/>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072"/>
      </w:tblGrid>
      <w:tr w:rsidR="00F22A34" w:rsidRPr="00991100" w14:paraId="330F8973" w14:textId="77777777" w:rsidTr="007A2D65">
        <w:tc>
          <w:tcPr>
            <w:tcW w:w="0" w:type="auto"/>
            <w:shd w:val="clear" w:color="auto" w:fill="auto"/>
            <w:hideMark/>
          </w:tcPr>
          <w:p w14:paraId="58D30910" w14:textId="77777777" w:rsidR="00F22A34" w:rsidRPr="00991100" w:rsidRDefault="00F22A34" w:rsidP="00F22A34">
            <w:pPr>
              <w:rPr>
                <w:rFonts w:ascii="Calibri" w:hAnsi="Calibri"/>
                <w:i/>
              </w:rPr>
            </w:pPr>
            <w:r w:rsidRPr="00991100">
              <w:rPr>
                <w:rFonts w:ascii="Calibri" w:hAnsi="Calibri"/>
                <w:i/>
              </w:rPr>
              <w:t>(3) Styret selv fastsetter retningslinjer for godkjenning og fastsetting av egenbetaling. Styret, eller den styret delegerer til, godkjenner at det aktuelle kurset, fag/emne eller studieprogrammet finansieres med egenbetaling etter disse bestemmelsene, og fastsetter hvor stor egenbetalingen skal være.</w:t>
            </w:r>
          </w:p>
        </w:tc>
      </w:tr>
    </w:tbl>
    <w:p w14:paraId="3D8092B2" w14:textId="77777777" w:rsidR="00A56AB0" w:rsidRDefault="00A56AB0" w:rsidP="00F22A34">
      <w:pPr>
        <w:rPr>
          <w:rFonts w:ascii="Calibri" w:hAnsi="Calibri"/>
        </w:rPr>
      </w:pPr>
    </w:p>
    <w:p w14:paraId="2F267800" w14:textId="78E67E1A" w:rsidR="00F22A34" w:rsidRPr="00991100" w:rsidRDefault="00F22A34" w:rsidP="00F22A34">
      <w:pPr>
        <w:rPr>
          <w:rFonts w:ascii="Calibri" w:hAnsi="Calibri"/>
        </w:rPr>
      </w:pPr>
      <w:r w:rsidRPr="00991100">
        <w:rPr>
          <w:rFonts w:ascii="Calibri" w:hAnsi="Calibri"/>
        </w:rPr>
        <w:t xml:space="preserve">Unntaksbestemmelsen i første ledd bokstav a til d er uttømmende, og innebærer at det ikke er adgang til å kreve egenbetaling av studentene med mindre man er innenfor ett av unntakstilfellene. </w:t>
      </w:r>
    </w:p>
    <w:p w14:paraId="71D657E9" w14:textId="77777777" w:rsidR="00F22A34" w:rsidRPr="00991100" w:rsidRDefault="00F22A34" w:rsidP="00F22A34">
      <w:pPr>
        <w:rPr>
          <w:rFonts w:ascii="Calibri" w:hAnsi="Calibri"/>
        </w:rPr>
      </w:pPr>
      <w:r w:rsidRPr="00991100">
        <w:rPr>
          <w:rFonts w:ascii="Calibri" w:hAnsi="Calibri"/>
        </w:rPr>
        <w:t>Av andre ledd fremgår at betalingen enten kan dekke kostnadene fullt ut eller delvis. Det oppstilles ingen fordeling av kostnadene mellom enkeltstudenten og institusjonen, og det fremgår ikke av bestemmelsen hvorvidt det det er en øvre grense for egenbetalingen.</w:t>
      </w:r>
    </w:p>
    <w:p w14:paraId="46F78386" w14:textId="77777777" w:rsidR="00F22A34" w:rsidRPr="00991100" w:rsidRDefault="00F22A34" w:rsidP="00F22A34">
      <w:pPr>
        <w:rPr>
          <w:rFonts w:ascii="Calibri" w:hAnsi="Calibri"/>
        </w:rPr>
      </w:pPr>
      <w:r w:rsidRPr="00991100">
        <w:rPr>
          <w:rFonts w:ascii="Calibri" w:hAnsi="Calibri"/>
        </w:rPr>
        <w:t>Det fremgår heller ikke uttrykkelig av forskriften om det er anledning til å ta fortjeneste på aktivitetene som er listet opp i a til d. Spørsmålet om fortjeneste omhandles kun i § 3-1 (3):</w:t>
      </w:r>
    </w:p>
    <w:p w14:paraId="207D8B84" w14:textId="77777777" w:rsidR="00F22A34" w:rsidRPr="00991100" w:rsidRDefault="00F22A34" w:rsidP="00F22A34">
      <w:pPr>
        <w:rPr>
          <w:rFonts w:ascii="Calibri" w:hAnsi="Calibri"/>
          <w:i/>
        </w:rPr>
      </w:pPr>
      <w:r w:rsidRPr="00991100">
        <w:rPr>
          <w:rFonts w:ascii="Calibri" w:hAnsi="Calibri"/>
          <w:i/>
        </w:rPr>
        <w:t>Statlige institusjoner skal ikke ha økonomisk fortjeneste på samarbeid med andre virksomheter om egenbetalingsfinansierte studieprogrammer eller fag/emner som de etter denne forskrift ikke kan tilby selv.</w:t>
      </w:r>
    </w:p>
    <w:p w14:paraId="0B5E06A5" w14:textId="6E1743B8" w:rsidR="00F22A34" w:rsidRDefault="00F22A34" w:rsidP="00F22A34">
      <w:pPr>
        <w:rPr>
          <w:rFonts w:ascii="Calibri" w:hAnsi="Calibri"/>
        </w:rPr>
      </w:pPr>
      <w:r w:rsidRPr="00991100">
        <w:rPr>
          <w:rFonts w:ascii="Calibri" w:hAnsi="Calibri"/>
        </w:rPr>
        <w:t xml:space="preserve">Her legges det til grunn at institusjonene ikke kan ha fortjeneste på fag/emner som institusjonene selv ikke tilbyr etter egenbetalingsforskriften. </w:t>
      </w:r>
    </w:p>
    <w:p w14:paraId="0D8DD2AC" w14:textId="77777777" w:rsidR="00831884" w:rsidRPr="00991100" w:rsidRDefault="00831884" w:rsidP="00F22A34">
      <w:pPr>
        <w:rPr>
          <w:rFonts w:ascii="Calibri" w:hAnsi="Calibri"/>
        </w:rPr>
      </w:pPr>
    </w:p>
    <w:p w14:paraId="5968CF6B" w14:textId="77777777" w:rsidR="00F22A34" w:rsidRPr="00991100" w:rsidRDefault="00F22A34" w:rsidP="00F22A34">
      <w:pPr>
        <w:numPr>
          <w:ilvl w:val="0"/>
          <w:numId w:val="29"/>
        </w:numPr>
        <w:rPr>
          <w:rFonts w:ascii="Calibri" w:hAnsi="Calibri"/>
          <w:b/>
        </w:rPr>
      </w:pPr>
      <w:r w:rsidRPr="00991100">
        <w:rPr>
          <w:rFonts w:ascii="Calibri" w:hAnsi="Calibri"/>
          <w:b/>
        </w:rPr>
        <w:lastRenderedPageBreak/>
        <w:t>Reglement F-07-13 (BOA-reglementet)</w:t>
      </w:r>
    </w:p>
    <w:p w14:paraId="24EA20CD" w14:textId="77777777" w:rsidR="00F22A34" w:rsidRPr="00991100" w:rsidRDefault="00F22A34" w:rsidP="00F22A34">
      <w:pPr>
        <w:rPr>
          <w:rFonts w:ascii="Calibri" w:hAnsi="Calibri"/>
        </w:rPr>
      </w:pPr>
      <w:r w:rsidRPr="00991100">
        <w:rPr>
          <w:rFonts w:ascii="Calibri" w:hAnsi="Calibri"/>
        </w:rPr>
        <w:t xml:space="preserve">F-07-13 beskriver institusjonenes samhandling med eksterne parter. Reglementet oppstiller 4 kategorier for samhandling: </w:t>
      </w:r>
    </w:p>
    <w:p w14:paraId="44F925A6" w14:textId="77777777" w:rsidR="00F22A34" w:rsidRPr="00991100" w:rsidRDefault="00F22A34" w:rsidP="00F22A34">
      <w:pPr>
        <w:numPr>
          <w:ilvl w:val="0"/>
          <w:numId w:val="30"/>
        </w:numPr>
        <w:rPr>
          <w:rFonts w:ascii="Calibri" w:hAnsi="Calibri"/>
        </w:rPr>
      </w:pPr>
      <w:r w:rsidRPr="00991100">
        <w:rPr>
          <w:rFonts w:ascii="Calibri" w:hAnsi="Calibri"/>
        </w:rPr>
        <w:t>Bidragsfinansiert aktivitet</w:t>
      </w:r>
    </w:p>
    <w:p w14:paraId="25262E98" w14:textId="77777777" w:rsidR="00F22A34" w:rsidRPr="00991100" w:rsidRDefault="00F22A34" w:rsidP="00F22A34">
      <w:pPr>
        <w:numPr>
          <w:ilvl w:val="0"/>
          <w:numId w:val="30"/>
        </w:numPr>
        <w:rPr>
          <w:rFonts w:ascii="Calibri" w:hAnsi="Calibri"/>
        </w:rPr>
      </w:pPr>
      <w:r w:rsidRPr="00991100">
        <w:rPr>
          <w:rFonts w:ascii="Calibri" w:hAnsi="Calibri"/>
        </w:rPr>
        <w:t>Oppdragsfinansiert aktivitet</w:t>
      </w:r>
    </w:p>
    <w:p w14:paraId="44D6362A" w14:textId="77777777" w:rsidR="00F22A34" w:rsidRPr="00991100" w:rsidRDefault="00F22A34" w:rsidP="00F22A34">
      <w:pPr>
        <w:numPr>
          <w:ilvl w:val="0"/>
          <w:numId w:val="30"/>
        </w:numPr>
        <w:rPr>
          <w:rFonts w:ascii="Calibri" w:hAnsi="Calibri"/>
        </w:rPr>
      </w:pPr>
      <w:r w:rsidRPr="00991100">
        <w:rPr>
          <w:rFonts w:ascii="Calibri" w:hAnsi="Calibri"/>
        </w:rPr>
        <w:t>Gaver</w:t>
      </w:r>
    </w:p>
    <w:p w14:paraId="68E8C4E5" w14:textId="77777777" w:rsidR="00F22A34" w:rsidRPr="00991100" w:rsidRDefault="00F22A34" w:rsidP="00F22A34">
      <w:pPr>
        <w:numPr>
          <w:ilvl w:val="0"/>
          <w:numId w:val="30"/>
        </w:numPr>
        <w:rPr>
          <w:rFonts w:ascii="Calibri" w:hAnsi="Calibri"/>
        </w:rPr>
      </w:pPr>
      <w:r w:rsidRPr="00991100">
        <w:rPr>
          <w:rFonts w:ascii="Calibri" w:hAnsi="Calibri"/>
        </w:rPr>
        <w:t>Salg</w:t>
      </w:r>
    </w:p>
    <w:p w14:paraId="44D664A6" w14:textId="77777777" w:rsidR="00F22A34" w:rsidRPr="00991100" w:rsidRDefault="00F22A34" w:rsidP="00F22A34">
      <w:pPr>
        <w:rPr>
          <w:rFonts w:ascii="Calibri" w:hAnsi="Calibri"/>
        </w:rPr>
      </w:pPr>
      <w:r w:rsidRPr="00991100">
        <w:rPr>
          <w:rFonts w:ascii="Calibri" w:hAnsi="Calibri"/>
        </w:rPr>
        <w:t xml:space="preserve">Med bidragsfinansiert aktivitet forstås «prosjekter hvor institusjonen henter støtte fra nasjonale og internasjonale finansieringskilder </w:t>
      </w:r>
      <w:r w:rsidRPr="00991100">
        <w:rPr>
          <w:rFonts w:ascii="Calibri" w:hAnsi="Calibri"/>
          <w:b/>
        </w:rPr>
        <w:t>uten at det foreligger krav om motytelse</w:t>
      </w:r>
      <w:r w:rsidRPr="00991100">
        <w:rPr>
          <w:rFonts w:ascii="Calibri" w:hAnsi="Calibri"/>
        </w:rPr>
        <w:t xml:space="preserve"> fra institusjonen når avtale om støtte inngås». </w:t>
      </w:r>
    </w:p>
    <w:p w14:paraId="6FE01DE0" w14:textId="77777777" w:rsidR="00F22A34" w:rsidRPr="00991100" w:rsidRDefault="00F22A34" w:rsidP="00F22A34">
      <w:pPr>
        <w:rPr>
          <w:rFonts w:ascii="Calibri" w:hAnsi="Calibri"/>
        </w:rPr>
      </w:pPr>
      <w:r w:rsidRPr="00991100">
        <w:rPr>
          <w:rFonts w:ascii="Calibri" w:hAnsi="Calibri"/>
        </w:rPr>
        <w:t xml:space="preserve">Med oppdragsfinansiert aktivitet forstås «prosjekter institusjonen utfører </w:t>
      </w:r>
      <w:r w:rsidRPr="00991100">
        <w:rPr>
          <w:rFonts w:ascii="Calibri" w:hAnsi="Calibri"/>
          <w:b/>
        </w:rPr>
        <w:t xml:space="preserve">mot betaling fra ekstern(e) oppdragsgiver(e) når det foreligger et krav om motytelse </w:t>
      </w:r>
      <w:r w:rsidRPr="00991100">
        <w:rPr>
          <w:rFonts w:ascii="Calibri" w:hAnsi="Calibri"/>
        </w:rPr>
        <w:t>fra institusjonen når avtale/kontrakt inngås».</w:t>
      </w:r>
    </w:p>
    <w:p w14:paraId="03E717F5" w14:textId="77777777" w:rsidR="00F22A34" w:rsidRPr="00991100" w:rsidRDefault="00F22A34" w:rsidP="00F22A34">
      <w:pPr>
        <w:rPr>
          <w:rFonts w:ascii="Calibri" w:hAnsi="Calibri"/>
        </w:rPr>
      </w:pPr>
      <w:r w:rsidRPr="00991100">
        <w:rPr>
          <w:rFonts w:ascii="Calibri" w:hAnsi="Calibri"/>
        </w:rPr>
        <w:t>Ved bidragsfinansiert aktivitet har institusjonene lov til å gå inn med egenfinansiering. Ved oppdragsfinansiert aktivitet skal oppdragsgiver dekke alle direkte og indirekte kostnader institusjonen har, samt en rimelig fortjeneste. Salg omfattes ikke av reglementet og omtales kun i en eksempeltabell som følger med reglementet.</w:t>
      </w:r>
    </w:p>
    <w:p w14:paraId="538ED5F7" w14:textId="77777777" w:rsidR="00F22A34" w:rsidRPr="00991100" w:rsidRDefault="00F22A34" w:rsidP="00F22A34">
      <w:pPr>
        <w:rPr>
          <w:rFonts w:ascii="Calibri" w:hAnsi="Calibri"/>
        </w:rPr>
      </w:pPr>
      <w:r w:rsidRPr="00991100">
        <w:rPr>
          <w:rFonts w:ascii="Calibri" w:hAnsi="Calibri"/>
        </w:rPr>
        <w:t>Finansiering av EVU-aktiviteter er nevnt i reglementets pkt. 2.2.: «</w:t>
      </w:r>
      <w:r w:rsidRPr="00991100">
        <w:rPr>
          <w:rFonts w:ascii="Calibri" w:hAnsi="Calibri"/>
          <w:i/>
        </w:rPr>
        <w:t>Finansiering av utdanningstilbud som er rettet mot enkeltstudenter skal skje i overensstemmelse med forskrift om egenbetaling</w:t>
      </w:r>
      <w:r w:rsidRPr="00991100">
        <w:rPr>
          <w:rFonts w:ascii="Calibri" w:hAnsi="Calibri"/>
        </w:rPr>
        <w:t>.»</w:t>
      </w:r>
    </w:p>
    <w:p w14:paraId="29B334E8" w14:textId="77777777" w:rsidR="00F22A34" w:rsidRPr="00991100" w:rsidRDefault="00F22A34" w:rsidP="00F22A34">
      <w:pPr>
        <w:rPr>
          <w:rFonts w:ascii="Calibri" w:hAnsi="Calibri"/>
        </w:rPr>
      </w:pPr>
      <w:r w:rsidRPr="00991100">
        <w:rPr>
          <w:rFonts w:ascii="Calibri" w:hAnsi="Calibri"/>
        </w:rPr>
        <w:t>Dette er utdypet videre i veilederen til F-07-13: «</w:t>
      </w:r>
      <w:r w:rsidRPr="00991100">
        <w:rPr>
          <w:rFonts w:ascii="Calibri" w:hAnsi="Calibri"/>
          <w:i/>
        </w:rPr>
        <w:t>Det vil variere om etter- og videreutdanning skal klassifiseres som bidrags- eller oppdragsfinansiert aktivitet, gave eller salg. Etter- og videreutdanning rettet mot enkeltstudenter skal gjennomføres i overensstemmelse med forskrift om egenbetaling, og kan i de fleste tilfeller klassifiseres som salg.</w:t>
      </w:r>
      <w:r w:rsidRPr="00991100">
        <w:rPr>
          <w:rFonts w:ascii="Calibri" w:hAnsi="Calibri"/>
        </w:rPr>
        <w:t>»</w:t>
      </w:r>
    </w:p>
    <w:p w14:paraId="5B016965" w14:textId="685A4992" w:rsidR="00F22A34" w:rsidRDefault="00F22A34" w:rsidP="28257F58">
      <w:pPr>
        <w:rPr>
          <w:rFonts w:ascii="Calibri" w:eastAsia="Calibri" w:hAnsi="Calibri" w:cs="Calibri"/>
        </w:rPr>
      </w:pPr>
      <w:r w:rsidRPr="7625745A">
        <w:rPr>
          <w:rFonts w:ascii="Calibri" w:eastAsia="Calibri" w:hAnsi="Calibri" w:cs="Calibri"/>
        </w:rPr>
        <w:t>I tilknytning til reglementet det er det utarbeidet en eksempeltabell</w:t>
      </w:r>
      <w:r w:rsidRPr="7625745A">
        <w:rPr>
          <w:rFonts w:ascii="Calibri" w:eastAsia="Calibri" w:hAnsi="Calibri" w:cs="Calibri"/>
          <w:vertAlign w:val="superscript"/>
        </w:rPr>
        <w:footnoteReference w:id="15"/>
      </w:r>
      <w:r w:rsidRPr="7625745A">
        <w:rPr>
          <w:rFonts w:ascii="Calibri" w:eastAsia="Calibri" w:hAnsi="Calibri" w:cs="Calibri"/>
        </w:rPr>
        <w:t xml:space="preserve"> for å lette klassifiseringen av EVU-aktiviteter. </w:t>
      </w:r>
    </w:p>
    <w:p w14:paraId="70711A4B" w14:textId="77777777" w:rsidR="00F22A34" w:rsidRPr="00991100" w:rsidRDefault="00F22A34" w:rsidP="00F22A34">
      <w:pPr>
        <w:numPr>
          <w:ilvl w:val="0"/>
          <w:numId w:val="29"/>
        </w:numPr>
        <w:rPr>
          <w:rFonts w:ascii="Calibri" w:hAnsi="Calibri"/>
          <w:b/>
        </w:rPr>
      </w:pPr>
      <w:r w:rsidRPr="00991100">
        <w:rPr>
          <w:rFonts w:ascii="Calibri" w:hAnsi="Calibri"/>
          <w:b/>
        </w:rPr>
        <w:t xml:space="preserve">Statsstøtteregelverket </w:t>
      </w:r>
    </w:p>
    <w:p w14:paraId="3E0A9B4B" w14:textId="77777777" w:rsidR="00F22A34" w:rsidRPr="00991100" w:rsidRDefault="00F22A34" w:rsidP="00F22A34">
      <w:pPr>
        <w:rPr>
          <w:rFonts w:ascii="Calibri" w:hAnsi="Calibri"/>
        </w:rPr>
      </w:pPr>
      <w:r w:rsidRPr="00991100">
        <w:rPr>
          <w:rFonts w:ascii="Calibri" w:hAnsi="Calibri"/>
        </w:rPr>
        <w:t xml:space="preserve">Etter EØS-avtalen er det ikke anledning til å gi offentlig støtte til enheter som driver økonomisk aktivitet. Det vil bli ansett som ulovlig statsstøtte til foretak. Forbudet skal sikre likebehandling mellom aktører, samtidig som det skal gjøre det mulig for nye aktører å </w:t>
      </w:r>
      <w:r w:rsidRPr="00991100">
        <w:rPr>
          <w:rFonts w:ascii="Calibri" w:hAnsi="Calibri"/>
        </w:rPr>
        <w:lastRenderedPageBreak/>
        <w:t xml:space="preserve">komme inn på markedet. Det er derfor viktig å definere hva som er økonomisk og ikke-økonomisk aktivitet. </w:t>
      </w:r>
    </w:p>
    <w:p w14:paraId="37F46363" w14:textId="77777777" w:rsidR="00F22A34" w:rsidRPr="00991100" w:rsidRDefault="00F22A34" w:rsidP="28257F58">
      <w:pPr>
        <w:rPr>
          <w:rFonts w:ascii="Calibri" w:eastAsia="Calibri" w:hAnsi="Calibri" w:cs="Calibri"/>
        </w:rPr>
      </w:pPr>
      <w:r w:rsidRPr="7625745A">
        <w:rPr>
          <w:rFonts w:ascii="Calibri" w:eastAsia="Calibri" w:hAnsi="Calibri" w:cs="Calibri"/>
        </w:rPr>
        <w:t xml:space="preserve">Å tilby utdanning til befolkningen er tradisjonelt ansett som et nasjonalt anliggende på lik linje med å dekke innbyggernes sosiale, kulturelle og helsemessige behov. Utdanningstjenester som organiseres innenfor rammene av det nasjonale utdanningssystemet og som finansieres og kontrolleres av staten, anses som ikke-økonomisk aktivitet, og aktivitet staten fritt kan finansiere. Dette fremgår også av Efta </w:t>
      </w:r>
      <w:proofErr w:type="spellStart"/>
      <w:r w:rsidRPr="7625745A">
        <w:rPr>
          <w:rFonts w:ascii="Calibri" w:eastAsia="Calibri" w:hAnsi="Calibri" w:cs="Calibri"/>
        </w:rPr>
        <w:t>Surveillance</w:t>
      </w:r>
      <w:proofErr w:type="spellEnd"/>
      <w:r w:rsidRPr="7625745A">
        <w:rPr>
          <w:rFonts w:ascii="Calibri" w:eastAsia="Calibri" w:hAnsi="Calibri" w:cs="Calibri"/>
        </w:rPr>
        <w:t xml:space="preserve"> </w:t>
      </w:r>
      <w:proofErr w:type="spellStart"/>
      <w:r w:rsidRPr="7625745A">
        <w:rPr>
          <w:rFonts w:ascii="Calibri" w:eastAsia="Calibri" w:hAnsi="Calibri" w:cs="Calibri"/>
        </w:rPr>
        <w:t>Authority’s</w:t>
      </w:r>
      <w:proofErr w:type="spellEnd"/>
      <w:r w:rsidRPr="7625745A">
        <w:rPr>
          <w:rFonts w:ascii="Calibri" w:eastAsia="Calibri" w:hAnsi="Calibri" w:cs="Calibri"/>
        </w:rPr>
        <w:t xml:space="preserve"> (ESA) guideline om støtte til R&amp;D&amp;I og </w:t>
      </w:r>
      <w:proofErr w:type="spellStart"/>
      <w:r w:rsidRPr="7625745A">
        <w:rPr>
          <w:rFonts w:ascii="Calibri" w:eastAsia="Calibri" w:hAnsi="Calibri" w:cs="Calibri"/>
        </w:rPr>
        <w:t>ESA’s</w:t>
      </w:r>
      <w:proofErr w:type="spellEnd"/>
      <w:r w:rsidRPr="7625745A">
        <w:rPr>
          <w:rFonts w:ascii="Calibri" w:eastAsia="Calibri" w:hAnsi="Calibri" w:cs="Calibri"/>
        </w:rPr>
        <w:t xml:space="preserve"> </w:t>
      </w:r>
      <w:proofErr w:type="spellStart"/>
      <w:r w:rsidRPr="7625745A">
        <w:rPr>
          <w:rFonts w:ascii="Calibri" w:eastAsia="Calibri" w:hAnsi="Calibri" w:cs="Calibri"/>
        </w:rPr>
        <w:t>notion</w:t>
      </w:r>
      <w:proofErr w:type="spellEnd"/>
      <w:r w:rsidRPr="7625745A">
        <w:rPr>
          <w:rFonts w:ascii="Calibri" w:eastAsia="Calibri" w:hAnsi="Calibri" w:cs="Calibri"/>
        </w:rPr>
        <w:t xml:space="preserve"> </w:t>
      </w:r>
      <w:proofErr w:type="spellStart"/>
      <w:r w:rsidRPr="7625745A">
        <w:rPr>
          <w:rFonts w:ascii="Calibri" w:eastAsia="Calibri" w:hAnsi="Calibri" w:cs="Calibri"/>
        </w:rPr>
        <w:t>of</w:t>
      </w:r>
      <w:proofErr w:type="spellEnd"/>
      <w:r w:rsidRPr="7625745A">
        <w:rPr>
          <w:rFonts w:ascii="Calibri" w:eastAsia="Calibri" w:hAnsi="Calibri" w:cs="Calibri"/>
        </w:rPr>
        <w:t xml:space="preserve"> </w:t>
      </w:r>
      <w:proofErr w:type="spellStart"/>
      <w:r w:rsidRPr="7625745A">
        <w:rPr>
          <w:rFonts w:ascii="Calibri" w:eastAsia="Calibri" w:hAnsi="Calibri" w:cs="Calibri"/>
        </w:rPr>
        <w:t>aid</w:t>
      </w:r>
      <w:proofErr w:type="spellEnd"/>
      <w:r w:rsidRPr="7625745A">
        <w:rPr>
          <w:rFonts w:ascii="Calibri" w:eastAsia="Calibri" w:hAnsi="Calibri" w:cs="Calibri"/>
          <w:vertAlign w:val="superscript"/>
        </w:rPr>
        <w:footnoteReference w:id="16"/>
      </w:r>
      <w:r w:rsidRPr="7625745A">
        <w:rPr>
          <w:rFonts w:ascii="Calibri" w:eastAsia="Calibri" w:hAnsi="Calibri" w:cs="Calibri"/>
        </w:rPr>
        <w:t>:</w:t>
      </w:r>
    </w:p>
    <w:p w14:paraId="4A9A0E15" w14:textId="77777777" w:rsidR="00F22A34" w:rsidRPr="00C66EEE" w:rsidRDefault="28257F58" w:rsidP="5663A662">
      <w:pPr>
        <w:rPr>
          <w:rFonts w:ascii="Calibri" w:eastAsia="Calibri" w:hAnsi="Calibri" w:cs="Calibri"/>
          <w:i/>
          <w:iCs/>
          <w:lang w:val="en-US"/>
        </w:rPr>
      </w:pPr>
      <w:r w:rsidRPr="5663A662">
        <w:rPr>
          <w:rFonts w:ascii="Calibri" w:eastAsia="Calibri" w:hAnsi="Calibri" w:cs="Calibri"/>
          <w:i/>
          <w:iCs/>
          <w:lang w:val="en-US"/>
        </w:rPr>
        <w:t xml:space="preserve">28. </w:t>
      </w:r>
      <w:r w:rsidRPr="5663A662">
        <w:rPr>
          <w:rFonts w:ascii="Calibri" w:eastAsia="Calibri" w:hAnsi="Calibri" w:cs="Calibri"/>
          <w:b/>
          <w:bCs/>
          <w:i/>
          <w:iCs/>
          <w:lang w:val="en-US"/>
        </w:rPr>
        <w:t xml:space="preserve">Public education </w:t>
      </w:r>
      <w:proofErr w:type="spellStart"/>
      <w:r w:rsidRPr="5663A662">
        <w:rPr>
          <w:rFonts w:ascii="Calibri" w:eastAsia="Calibri" w:hAnsi="Calibri" w:cs="Calibri"/>
          <w:b/>
          <w:bCs/>
          <w:i/>
          <w:iCs/>
          <w:lang w:val="en-US"/>
        </w:rPr>
        <w:t>organised</w:t>
      </w:r>
      <w:proofErr w:type="spellEnd"/>
      <w:r w:rsidRPr="5663A662">
        <w:rPr>
          <w:rFonts w:ascii="Calibri" w:eastAsia="Calibri" w:hAnsi="Calibri" w:cs="Calibri"/>
          <w:b/>
          <w:bCs/>
          <w:i/>
          <w:iCs/>
          <w:lang w:val="en-US"/>
        </w:rPr>
        <w:t xml:space="preserve"> within the national educational system funded and supervised by the State may be considered as a non - economic activity.</w:t>
      </w:r>
      <w:r w:rsidRPr="5663A662">
        <w:rPr>
          <w:rFonts w:ascii="Calibri" w:eastAsia="Calibri" w:hAnsi="Calibri" w:cs="Calibri"/>
          <w:i/>
          <w:iCs/>
          <w:lang w:val="en-US"/>
        </w:rPr>
        <w:t xml:space="preserve"> The Court of Justice held that the State: ‘by establishing and maintaining such a system of public education and </w:t>
      </w:r>
      <w:r w:rsidRPr="5663A662">
        <w:rPr>
          <w:rFonts w:ascii="Calibri" w:eastAsia="Calibri" w:hAnsi="Calibri" w:cs="Calibri"/>
          <w:b/>
          <w:bCs/>
          <w:i/>
          <w:iCs/>
          <w:lang w:val="en-US"/>
        </w:rPr>
        <w:t>financed entirely or mainly by public funds and not by pupils or their parents</w:t>
      </w:r>
      <w:r w:rsidRPr="5663A662">
        <w:rPr>
          <w:rFonts w:ascii="Calibri" w:eastAsia="Calibri" w:hAnsi="Calibri" w:cs="Calibri"/>
          <w:i/>
          <w:iCs/>
          <w:lang w:val="en-US"/>
        </w:rPr>
        <w:t xml:space="preserve"> [ … ] does not intend to become involved in activities for remuneration, but carries out its task towards its population in the social, cultural and educational areas’. </w:t>
      </w:r>
    </w:p>
    <w:p w14:paraId="131B22BC" w14:textId="77777777" w:rsidR="00F22A34" w:rsidRPr="00991100" w:rsidRDefault="00F22A34" w:rsidP="00F22A34">
      <w:pPr>
        <w:rPr>
          <w:rFonts w:ascii="Calibri" w:hAnsi="Calibri"/>
        </w:rPr>
      </w:pPr>
      <w:r w:rsidRPr="00991100">
        <w:rPr>
          <w:rFonts w:ascii="Calibri" w:hAnsi="Calibri"/>
        </w:rPr>
        <w:t xml:space="preserve">ESA har gjennom sin praksis trukket opp et skille mellom økonomisk- og ikke-økonomisk aktivitet i forbindelse med støtte til videregående skoler i Norge som tilbyr maritim- og offshoreundervisning som en del av den offentlig finansierte yrkesutdanningen. Tilbudet til elevene i de videregående skolene ble ansett som ikke-økonomisk aktivitet, mens fylkeskommunens kurs som ble tilbudt i markedet mot betaling ble ansett som økonomisk aktivitet. Tilsvarende betraktninger ble lagt til grunn ved vurderingen til sikkerhetskurs i regi av Universitet i Tromsø. Dette tilbudet ble ansett som ikke-økonomisk aktivitet da kursene var tilbudt som en del av universitets gratis bachelor-program og kun for studenter som var tatt opp på programmet. ESA la avgjørende vekt på at kurset var en del av det offentlig finansierte og kontrollerte alminnelige studietilbudet. </w:t>
      </w:r>
    </w:p>
    <w:p w14:paraId="13103761" w14:textId="77777777" w:rsidR="00F22A34" w:rsidRPr="00991100" w:rsidRDefault="00F22A34" w:rsidP="00F22A34">
      <w:pPr>
        <w:rPr>
          <w:rFonts w:ascii="Calibri" w:hAnsi="Calibri"/>
        </w:rPr>
      </w:pPr>
      <w:r w:rsidRPr="00991100">
        <w:rPr>
          <w:rFonts w:ascii="Calibri" w:hAnsi="Calibri"/>
        </w:rPr>
        <w:t>ESA guideline oppstiller ikke et krav om at utdanningen må være fullfinansiert av det offentlige. Det er kun et krav om at utdanningen må være finansiert «</w:t>
      </w:r>
      <w:proofErr w:type="spellStart"/>
      <w:r w:rsidRPr="00991100">
        <w:rPr>
          <w:rFonts w:ascii="Calibri" w:hAnsi="Calibri"/>
        </w:rPr>
        <w:t>entirely</w:t>
      </w:r>
      <w:proofErr w:type="spellEnd"/>
      <w:r w:rsidRPr="00991100">
        <w:rPr>
          <w:rFonts w:ascii="Calibri" w:hAnsi="Calibri"/>
        </w:rPr>
        <w:t>» eller «</w:t>
      </w:r>
      <w:proofErr w:type="spellStart"/>
      <w:r w:rsidRPr="00991100">
        <w:rPr>
          <w:rFonts w:ascii="Calibri" w:hAnsi="Calibri"/>
        </w:rPr>
        <w:t>mainly</w:t>
      </w:r>
      <w:proofErr w:type="spellEnd"/>
      <w:r w:rsidRPr="00991100">
        <w:rPr>
          <w:rFonts w:ascii="Calibri" w:hAnsi="Calibri"/>
        </w:rPr>
        <w:t xml:space="preserve">» av det offentlige. Det tydeliggjøres ytterligere av det påfølgende avsnittet i ESAs </w:t>
      </w:r>
      <w:proofErr w:type="spellStart"/>
      <w:r w:rsidRPr="00991100">
        <w:rPr>
          <w:rFonts w:ascii="Calibri" w:hAnsi="Calibri"/>
        </w:rPr>
        <w:t>notion</w:t>
      </w:r>
      <w:proofErr w:type="spellEnd"/>
      <w:r w:rsidRPr="00991100">
        <w:rPr>
          <w:rFonts w:ascii="Calibri" w:hAnsi="Calibri"/>
        </w:rPr>
        <w:t xml:space="preserve"> </w:t>
      </w:r>
      <w:proofErr w:type="spellStart"/>
      <w:r w:rsidRPr="00991100">
        <w:rPr>
          <w:rFonts w:ascii="Calibri" w:hAnsi="Calibri"/>
        </w:rPr>
        <w:t>of</w:t>
      </w:r>
      <w:proofErr w:type="spellEnd"/>
      <w:r w:rsidRPr="00991100">
        <w:rPr>
          <w:rFonts w:ascii="Calibri" w:hAnsi="Calibri"/>
        </w:rPr>
        <w:t xml:space="preserve"> </w:t>
      </w:r>
      <w:proofErr w:type="spellStart"/>
      <w:r w:rsidRPr="00991100">
        <w:rPr>
          <w:rFonts w:ascii="Calibri" w:hAnsi="Calibri"/>
        </w:rPr>
        <w:t>aid</w:t>
      </w:r>
      <w:proofErr w:type="spellEnd"/>
      <w:r w:rsidRPr="00991100">
        <w:rPr>
          <w:rFonts w:ascii="Calibri" w:hAnsi="Calibri"/>
        </w:rPr>
        <w:t xml:space="preserve"> hvor det oppstilles en grense mot det som anses som økonomisk aktiv:</w:t>
      </w:r>
    </w:p>
    <w:p w14:paraId="702936BD" w14:textId="77777777" w:rsidR="00F22A34" w:rsidRPr="00645B40" w:rsidRDefault="28257F58" w:rsidP="46D54BE2">
      <w:pPr>
        <w:rPr>
          <w:lang w:val="en-US"/>
        </w:rPr>
      </w:pPr>
      <w:r w:rsidRPr="46D54BE2">
        <w:rPr>
          <w:rFonts w:ascii="Calibri" w:eastAsia="Calibri" w:hAnsi="Calibri" w:cs="Calibri"/>
          <w:i/>
          <w:iCs/>
          <w:lang w:val="en-US"/>
        </w:rPr>
        <w:t xml:space="preserve">29. </w:t>
      </w:r>
      <w:r w:rsidRPr="46D54BE2">
        <w:rPr>
          <w:rFonts w:ascii="Calibri" w:eastAsia="Calibri" w:hAnsi="Calibri" w:cs="Calibri"/>
          <w:b/>
          <w:bCs/>
          <w:i/>
          <w:iCs/>
          <w:lang w:val="en-US"/>
        </w:rPr>
        <w:t>The non - economic nature of public education</w:t>
      </w:r>
      <w:r w:rsidRPr="46D54BE2">
        <w:rPr>
          <w:rFonts w:ascii="Calibri" w:eastAsia="Calibri" w:hAnsi="Calibri" w:cs="Calibri"/>
          <w:i/>
          <w:iCs/>
          <w:lang w:val="en-US"/>
        </w:rPr>
        <w:t xml:space="preserve"> is in principle not affected by the fact that pupils or their parents sometimes </w:t>
      </w:r>
      <w:proofErr w:type="gramStart"/>
      <w:r w:rsidRPr="46D54BE2">
        <w:rPr>
          <w:rFonts w:ascii="Calibri" w:eastAsia="Calibri" w:hAnsi="Calibri" w:cs="Calibri"/>
          <w:i/>
          <w:iCs/>
          <w:lang w:val="en-US"/>
        </w:rPr>
        <w:t>have to</w:t>
      </w:r>
      <w:proofErr w:type="gramEnd"/>
      <w:r w:rsidRPr="46D54BE2">
        <w:rPr>
          <w:rFonts w:ascii="Calibri" w:eastAsia="Calibri" w:hAnsi="Calibri" w:cs="Calibri"/>
          <w:i/>
          <w:iCs/>
          <w:lang w:val="en-US"/>
        </w:rPr>
        <w:t xml:space="preserve"> pay tuition or enrolment fees which contribute to the operating expenses of the system. Such financial contributions often only cover a fraction of the true costs of the service and can thus not be considered as remuneration for the service provided. They therefore do not alter the non - economic nature of a general education service </w:t>
      </w:r>
      <w:r w:rsidRPr="46D54BE2">
        <w:rPr>
          <w:rFonts w:ascii="Calibri" w:eastAsia="Calibri" w:hAnsi="Calibri" w:cs="Calibri"/>
          <w:b/>
          <w:bCs/>
          <w:i/>
          <w:iCs/>
          <w:lang w:val="en-US"/>
        </w:rPr>
        <w:t xml:space="preserve">predominantly funded by the public purse. These principles can cover public educational services such as vocational training, private and public primary schools </w:t>
      </w:r>
      <w:r w:rsidRPr="46D54BE2">
        <w:rPr>
          <w:rFonts w:ascii="Calibri" w:eastAsia="Calibri" w:hAnsi="Calibri" w:cs="Calibri"/>
          <w:b/>
          <w:bCs/>
          <w:i/>
          <w:iCs/>
          <w:lang w:val="en-US"/>
        </w:rPr>
        <w:lastRenderedPageBreak/>
        <w:t>and kindergartens, secondary teaching activities in universities and the provision of education in universities.</w:t>
      </w:r>
      <w:r w:rsidRPr="46D54BE2">
        <w:rPr>
          <w:rFonts w:ascii="Calibri" w:eastAsia="Calibri" w:hAnsi="Calibri" w:cs="Calibri"/>
          <w:i/>
          <w:iCs/>
          <w:lang w:val="en-US"/>
        </w:rPr>
        <w:t xml:space="preserve"> </w:t>
      </w:r>
    </w:p>
    <w:p w14:paraId="7825DAD5" w14:textId="77777777" w:rsidR="00F22A34" w:rsidRPr="00645B40" w:rsidRDefault="28257F58" w:rsidP="5663A662">
      <w:pPr>
        <w:rPr>
          <w:lang w:val="en-US"/>
        </w:rPr>
      </w:pPr>
      <w:r w:rsidRPr="5663A662">
        <w:rPr>
          <w:rFonts w:ascii="Calibri" w:eastAsia="Calibri" w:hAnsi="Calibri" w:cs="Calibri"/>
          <w:i/>
          <w:iCs/>
          <w:lang w:val="en-US"/>
        </w:rPr>
        <w:t xml:space="preserve">30. </w:t>
      </w:r>
      <w:r w:rsidRPr="5663A662">
        <w:rPr>
          <w:rFonts w:ascii="Calibri" w:eastAsia="Calibri" w:hAnsi="Calibri" w:cs="Calibri"/>
          <w:b/>
          <w:bCs/>
          <w:i/>
          <w:iCs/>
          <w:lang w:val="en-US"/>
        </w:rPr>
        <w:t xml:space="preserve">Such public education services must be distinguished from services financed predominantly by parents or pupils or commercial revenues. For example, higher education financed entirely by students clearly fall within the latter category. In certain EEA State’s public entities can also offer educational services which, due to their nature, financing structure and the existence of competing private </w:t>
      </w:r>
      <w:proofErr w:type="spellStart"/>
      <w:r w:rsidRPr="5663A662">
        <w:rPr>
          <w:rFonts w:ascii="Calibri" w:eastAsia="Calibri" w:hAnsi="Calibri" w:cs="Calibri"/>
          <w:b/>
          <w:bCs/>
          <w:i/>
          <w:iCs/>
          <w:lang w:val="en-US"/>
        </w:rPr>
        <w:t>organisations</w:t>
      </w:r>
      <w:proofErr w:type="spellEnd"/>
      <w:r w:rsidRPr="5663A662">
        <w:rPr>
          <w:rFonts w:ascii="Calibri" w:eastAsia="Calibri" w:hAnsi="Calibri" w:cs="Calibri"/>
          <w:b/>
          <w:bCs/>
          <w:i/>
          <w:iCs/>
          <w:lang w:val="en-US"/>
        </w:rPr>
        <w:t xml:space="preserve">, are to be regarded as economic. </w:t>
      </w:r>
    </w:p>
    <w:p w14:paraId="5F49060D" w14:textId="77777777" w:rsidR="00F22A34" w:rsidRPr="00991100" w:rsidRDefault="00F22A34" w:rsidP="00F22A34">
      <w:pPr>
        <w:rPr>
          <w:rFonts w:ascii="Calibri" w:hAnsi="Calibri"/>
        </w:rPr>
      </w:pPr>
      <w:r w:rsidRPr="00991100">
        <w:rPr>
          <w:rFonts w:ascii="Calibri" w:hAnsi="Calibri"/>
        </w:rPr>
        <w:t xml:space="preserve">Det går altså et skille mellom </w:t>
      </w:r>
      <w:r w:rsidRPr="00991100">
        <w:rPr>
          <w:rFonts w:ascii="Calibri" w:hAnsi="Calibri"/>
          <w:u w:val="single"/>
        </w:rPr>
        <w:t>offentlig finansiert og kontrollert utdanning</w:t>
      </w:r>
      <w:r w:rsidRPr="00991100">
        <w:rPr>
          <w:rFonts w:ascii="Calibri" w:hAnsi="Calibri"/>
        </w:rPr>
        <w:t xml:space="preserve"> som anses som ikke-økonomisk aktivitet og det som anses som utdanningstjenester (økonomisk aktivitet) som tilbys i et marked. Dette prinsippet gjelder for alle typer utdanning som det offentlige tilbyr sine innbyggere, fra barnehage til gjennomføring av universitetsutdannelse. Det enkelte land har en stor frihetsgrad i å definere hva som anses som en del av den offentlig finansierte og kontrollerte utdanningen som myndighetene ønsker å tilby sine innbyggere. Å tilby utdanning bygger på en solidaritetstankegang.</w:t>
      </w:r>
    </w:p>
    <w:p w14:paraId="0F7A177D" w14:textId="77777777" w:rsidR="00F22A34" w:rsidRPr="00991100" w:rsidRDefault="00F22A34" w:rsidP="00F22A34">
      <w:pPr>
        <w:rPr>
          <w:rFonts w:ascii="Calibri" w:hAnsi="Calibri"/>
        </w:rPr>
      </w:pPr>
      <w:r w:rsidRPr="00991100">
        <w:rPr>
          <w:rFonts w:ascii="Calibri" w:hAnsi="Calibri"/>
        </w:rPr>
        <w:t>Spørsmålet som oppstår i forlengelsen av dette er graden av finansiering det offentlige må bidra med for at utdanningstilbudet skal anses som «</w:t>
      </w:r>
      <w:proofErr w:type="spellStart"/>
      <w:r w:rsidRPr="00991100">
        <w:rPr>
          <w:rFonts w:ascii="Calibri" w:hAnsi="Calibri"/>
        </w:rPr>
        <w:t>mainly</w:t>
      </w:r>
      <w:proofErr w:type="spellEnd"/>
      <w:r w:rsidRPr="00991100">
        <w:rPr>
          <w:rFonts w:ascii="Calibri" w:hAnsi="Calibri"/>
        </w:rPr>
        <w:t>» eller «</w:t>
      </w:r>
      <w:proofErr w:type="spellStart"/>
      <w:r w:rsidRPr="00991100">
        <w:rPr>
          <w:rFonts w:ascii="Calibri" w:hAnsi="Calibri"/>
        </w:rPr>
        <w:t>predominantly</w:t>
      </w:r>
      <w:proofErr w:type="spellEnd"/>
      <w:r w:rsidRPr="00991100">
        <w:rPr>
          <w:rFonts w:ascii="Calibri" w:hAnsi="Calibri"/>
        </w:rPr>
        <w:t xml:space="preserve">» offentlig finansiert utdanning. Ved vurderingen av dette må det ses hen til hvor stor andel av </w:t>
      </w:r>
      <w:r w:rsidRPr="00991100">
        <w:rPr>
          <w:rFonts w:ascii="Calibri" w:hAnsi="Calibri"/>
          <w:u w:val="single"/>
        </w:rPr>
        <w:t>de reelle kostnadene</w:t>
      </w:r>
      <w:r w:rsidRPr="00991100">
        <w:rPr>
          <w:rFonts w:ascii="Calibri" w:hAnsi="Calibri"/>
        </w:rPr>
        <w:t xml:space="preserve"> den private betalingen utgjør.</w:t>
      </w:r>
    </w:p>
    <w:p w14:paraId="59E3C610" w14:textId="77777777" w:rsidR="00F22A34" w:rsidRPr="00991100" w:rsidRDefault="00F22A34" w:rsidP="00F22A34">
      <w:pPr>
        <w:rPr>
          <w:rFonts w:ascii="Calibri" w:hAnsi="Calibri"/>
        </w:rPr>
      </w:pPr>
      <w:r w:rsidRPr="00991100">
        <w:rPr>
          <w:rFonts w:ascii="Calibri" w:hAnsi="Calibri"/>
        </w:rPr>
        <w:t>Det har hittil ikke blitt trukket noen klar grense for hva som anses som «</w:t>
      </w:r>
      <w:proofErr w:type="spellStart"/>
      <w:r w:rsidRPr="00991100">
        <w:rPr>
          <w:rFonts w:ascii="Calibri" w:hAnsi="Calibri"/>
        </w:rPr>
        <w:t>mainly</w:t>
      </w:r>
      <w:proofErr w:type="spellEnd"/>
      <w:r w:rsidRPr="00991100">
        <w:rPr>
          <w:rFonts w:ascii="Calibri" w:hAnsi="Calibri"/>
        </w:rPr>
        <w:t xml:space="preserve">» eller» </w:t>
      </w:r>
      <w:proofErr w:type="spellStart"/>
      <w:r w:rsidRPr="00991100">
        <w:rPr>
          <w:rFonts w:ascii="Calibri" w:hAnsi="Calibri"/>
        </w:rPr>
        <w:t>predominantly</w:t>
      </w:r>
      <w:proofErr w:type="spellEnd"/>
      <w:r w:rsidRPr="00991100">
        <w:rPr>
          <w:rFonts w:ascii="Calibri" w:hAnsi="Calibri"/>
        </w:rPr>
        <w:t>». I barnehagesaken (Sak E-5/07 Private barnehagers landsforbund) konkluderte EFTA-domstolen med at offentlige barnehager ikke driver økonomisk aktivitet. Vedtaket om barnehageplass er et forvaltningsrettslig vedtak, og det forhold at foreldrebetalingen utgjør 20 % av inntektene endrer ikke dette.</w:t>
      </w:r>
    </w:p>
    <w:p w14:paraId="123241BC" w14:textId="77777777" w:rsidR="00F22A34" w:rsidRPr="00991100" w:rsidRDefault="00F22A34" w:rsidP="00F22A34">
      <w:pPr>
        <w:rPr>
          <w:rFonts w:ascii="Calibri" w:hAnsi="Calibri"/>
        </w:rPr>
      </w:pPr>
      <w:r w:rsidRPr="00991100">
        <w:rPr>
          <w:rFonts w:ascii="Calibri" w:hAnsi="Calibri"/>
        </w:rPr>
        <w:t>For private grunnskoler i Norge utgjør foreldrebetalingen 15 % og den offentlige finansieringen 85 %. Det anses for å være i overensstemmelse med statsstøtteregelverket.</w:t>
      </w:r>
    </w:p>
    <w:p w14:paraId="2D108EAF" w14:textId="77777777" w:rsidR="00F22A34" w:rsidRPr="00991100" w:rsidRDefault="00F22A34" w:rsidP="28257F58">
      <w:pPr>
        <w:rPr>
          <w:rFonts w:ascii="Calibri" w:eastAsia="Calibri" w:hAnsi="Calibri" w:cs="Calibri"/>
        </w:rPr>
      </w:pPr>
      <w:r w:rsidRPr="7625745A">
        <w:rPr>
          <w:rFonts w:ascii="Calibri" w:eastAsia="Calibri" w:hAnsi="Calibri" w:cs="Calibri"/>
        </w:rPr>
        <w:t xml:space="preserve">Den 11. april 2018 fremsatte generaladvokaten et forslag til avgjørelse til European Court </w:t>
      </w:r>
      <w:proofErr w:type="spellStart"/>
      <w:r w:rsidRPr="7625745A">
        <w:rPr>
          <w:rFonts w:ascii="Calibri" w:eastAsia="Calibri" w:hAnsi="Calibri" w:cs="Calibri"/>
        </w:rPr>
        <w:t>of</w:t>
      </w:r>
      <w:proofErr w:type="spellEnd"/>
      <w:r w:rsidRPr="7625745A">
        <w:rPr>
          <w:rFonts w:ascii="Calibri" w:eastAsia="Calibri" w:hAnsi="Calibri" w:cs="Calibri"/>
        </w:rPr>
        <w:t xml:space="preserve"> </w:t>
      </w:r>
      <w:proofErr w:type="spellStart"/>
      <w:r w:rsidRPr="7625745A">
        <w:rPr>
          <w:rFonts w:ascii="Calibri" w:eastAsia="Calibri" w:hAnsi="Calibri" w:cs="Calibri"/>
        </w:rPr>
        <w:t>Justice</w:t>
      </w:r>
      <w:proofErr w:type="spellEnd"/>
      <w:r w:rsidRPr="7625745A">
        <w:rPr>
          <w:rFonts w:ascii="Calibri" w:eastAsia="Calibri" w:hAnsi="Calibri" w:cs="Calibri"/>
        </w:rPr>
        <w:t xml:space="preserve"> hvor nivået på betaling omtales. Generaladvokaten gir uttrykk for at utdanning anses som ikke-økonomisk aktivitet såfremt hovedparten av kostnadene dekkes av det offentlige.</w:t>
      </w:r>
      <w:r w:rsidRPr="7625745A">
        <w:rPr>
          <w:rFonts w:ascii="Calibri" w:eastAsia="Calibri" w:hAnsi="Calibri" w:cs="Calibri"/>
          <w:vertAlign w:val="superscript"/>
        </w:rPr>
        <w:footnoteReference w:id="17"/>
      </w:r>
      <w:r w:rsidRPr="7625745A">
        <w:rPr>
          <w:rFonts w:ascii="Calibri" w:eastAsia="Calibri" w:hAnsi="Calibri" w:cs="Calibri"/>
        </w:rPr>
        <w:t xml:space="preserve"> </w:t>
      </w:r>
    </w:p>
    <w:p w14:paraId="4D5B8E34" w14:textId="79E96791" w:rsidR="00F22A34" w:rsidRPr="00991100" w:rsidRDefault="00F22A34" w:rsidP="28257F58">
      <w:pPr>
        <w:rPr>
          <w:rFonts w:ascii="Calibri" w:eastAsia="Calibri" w:hAnsi="Calibri" w:cs="Calibri"/>
        </w:rPr>
      </w:pPr>
      <w:r w:rsidRPr="28257F58">
        <w:rPr>
          <w:rFonts w:ascii="Calibri" w:eastAsia="Calibri" w:hAnsi="Calibri" w:cs="Calibri"/>
        </w:rPr>
        <w:t>Dette kan tolkes dit hen at dersom det offentlige dekker mer enn halvparten av kostnadene, dvs</w:t>
      </w:r>
      <w:r w:rsidR="00F94AA0" w:rsidRPr="28257F58">
        <w:rPr>
          <w:rFonts w:ascii="Calibri" w:eastAsia="Calibri" w:hAnsi="Calibri" w:cs="Calibri"/>
        </w:rPr>
        <w:t>.</w:t>
      </w:r>
      <w:r w:rsidRPr="28257F58">
        <w:rPr>
          <w:rFonts w:ascii="Calibri" w:eastAsia="Calibri" w:hAnsi="Calibri" w:cs="Calibri"/>
        </w:rPr>
        <w:t xml:space="preserve">  51 %</w:t>
      </w:r>
      <w:r w:rsidR="00F94AA0" w:rsidRPr="28257F58">
        <w:rPr>
          <w:rFonts w:ascii="Calibri" w:eastAsia="Calibri" w:hAnsi="Calibri" w:cs="Calibri"/>
        </w:rPr>
        <w:t xml:space="preserve"> eller mer</w:t>
      </w:r>
      <w:r w:rsidRPr="28257F58">
        <w:rPr>
          <w:rFonts w:ascii="Calibri" w:eastAsia="Calibri" w:hAnsi="Calibri" w:cs="Calibri"/>
        </w:rPr>
        <w:t xml:space="preserve">, vil offentlig utdanning fortsatt anses som ikke-økonomisk aktivitet. Riktignok var det ingen direkte kobling mellom betalingen fra studenten/foreldrene og utgiftene i den omtalte saken, men de generelle uttalelsene fra generaladvokaten innebærer </w:t>
      </w:r>
      <w:r w:rsidRPr="28257F58">
        <w:rPr>
          <w:rFonts w:ascii="Calibri" w:eastAsia="Calibri" w:hAnsi="Calibri" w:cs="Calibri"/>
        </w:rPr>
        <w:lastRenderedPageBreak/>
        <w:t>en slik kobling. Det er forventet dom i saken før sommeren eller rett etter sommeren</w:t>
      </w:r>
      <w:r w:rsidR="004470DD" w:rsidRPr="28257F58">
        <w:rPr>
          <w:rFonts w:ascii="Calibri" w:eastAsia="Calibri" w:hAnsi="Calibri" w:cs="Calibri"/>
        </w:rPr>
        <w:t xml:space="preserve"> 2018</w:t>
      </w:r>
      <w:r w:rsidRPr="28257F58">
        <w:rPr>
          <w:rFonts w:ascii="Calibri" w:eastAsia="Calibri" w:hAnsi="Calibri" w:cs="Calibri"/>
        </w:rPr>
        <w:t>. Domstolen vil kunne komme til et annet resultat eller modifisere generaladvokatens syn.</w:t>
      </w:r>
    </w:p>
    <w:p w14:paraId="4C6B3BEE" w14:textId="77777777" w:rsidR="00F22A34" w:rsidRPr="00991100" w:rsidRDefault="00F22A34" w:rsidP="00F22A34">
      <w:pPr>
        <w:rPr>
          <w:rFonts w:ascii="Calibri" w:hAnsi="Calibri"/>
        </w:rPr>
      </w:pPr>
      <w:r w:rsidRPr="00991100">
        <w:rPr>
          <w:rFonts w:ascii="Calibri" w:hAnsi="Calibri"/>
        </w:rPr>
        <w:t xml:space="preserve">Hver aktivitet må vurderes separat for å avgjøre om aktiviteten er ikke-økonomisk eller økonomisk. Det er ikke anledning til å foreta vurderingen basert på all undervisning sett under ett. Hver </w:t>
      </w:r>
      <w:r w:rsidRPr="00991100">
        <w:rPr>
          <w:rFonts w:ascii="Calibri" w:hAnsi="Calibri"/>
          <w:u w:val="single"/>
        </w:rPr>
        <w:t>uavhengige</w:t>
      </w:r>
      <w:r w:rsidRPr="00991100">
        <w:rPr>
          <w:rFonts w:ascii="Calibri" w:hAnsi="Calibri"/>
        </w:rPr>
        <w:t xml:space="preserve"> aktivitet må altså vurderes separat. En aktivitet kan imidlertid bestå av flere integrerte deler. Et eksempel på dette er en master i entreprenørskap. Det forhold at studentene i løpet av masteren skal etablere og drive en bedrift (bedriftsetablering anses normalt som en økonomisk aktivitet) medfører ikke at professorenes veiledning endrer karakter fra ikke-økonomisk til økonomisk. Studentenes bedriftsetableringer blir sett på som en integrert del av utdanningsløpet, og utdanning er som kjent ikke-økonomisk aktivitet.</w:t>
      </w:r>
    </w:p>
    <w:p w14:paraId="48E6E789" w14:textId="77777777" w:rsidR="00F22A34" w:rsidRPr="00991100" w:rsidRDefault="00F22A34" w:rsidP="00F22A34">
      <w:pPr>
        <w:rPr>
          <w:rFonts w:ascii="Calibri" w:hAnsi="Calibri"/>
        </w:rPr>
      </w:pPr>
      <w:r w:rsidRPr="00991100">
        <w:rPr>
          <w:rFonts w:ascii="Calibri" w:hAnsi="Calibri"/>
        </w:rPr>
        <w:t>Aktiviteter som ikke faller inn under det offentlig finansierte og kontrollerte utdanningssystemet</w:t>
      </w:r>
      <w:r w:rsidR="004470DD" w:rsidRPr="00991100">
        <w:rPr>
          <w:rFonts w:ascii="Calibri" w:hAnsi="Calibri"/>
        </w:rPr>
        <w:t>,</w:t>
      </w:r>
      <w:r w:rsidRPr="00991100">
        <w:rPr>
          <w:rFonts w:ascii="Calibri" w:hAnsi="Calibri"/>
        </w:rPr>
        <w:t xml:space="preserve"> vil normalt anses som økonomisk aktivitet. Tilsvarende gjelder dersom student-/foreldrebetalingen dekker hovedparten av de reelle kostnadene. Ved utdanningstilbud som anses økonomisk aktivitet, skal deltakerne/bestilleren dekke alle kostnader knyttet til aktiviteten pluss en rimelig fortjeneste. Institusjonene vil ikke ha anledning til å benytte inntekter gitt til den ikke-økonomiske aktiviteten til å betale/finansiere den økonomiske aktiviteten (kryss-subsidiering).</w:t>
      </w:r>
    </w:p>
    <w:p w14:paraId="7B0D7C7E" w14:textId="77777777" w:rsidR="00F22A34" w:rsidRPr="00991100" w:rsidRDefault="00F22A34" w:rsidP="00F22A34">
      <w:pPr>
        <w:numPr>
          <w:ilvl w:val="0"/>
          <w:numId w:val="29"/>
        </w:numPr>
        <w:rPr>
          <w:rFonts w:ascii="Calibri" w:hAnsi="Calibri"/>
          <w:b/>
        </w:rPr>
      </w:pPr>
      <w:r w:rsidRPr="00991100">
        <w:rPr>
          <w:rFonts w:ascii="Calibri" w:hAnsi="Calibri"/>
          <w:b/>
        </w:rPr>
        <w:t>Oppsummering og tydeliggjøring av problemstillingen</w:t>
      </w:r>
    </w:p>
    <w:p w14:paraId="4F6DF445" w14:textId="1F174E74" w:rsidR="00F22A34" w:rsidRPr="00991100" w:rsidRDefault="00F22A34" w:rsidP="28257F58">
      <w:pPr>
        <w:rPr>
          <w:rFonts w:ascii="Calibri" w:eastAsia="Calibri" w:hAnsi="Calibri" w:cs="Calibri"/>
        </w:rPr>
      </w:pPr>
      <w:r w:rsidRPr="7625745A">
        <w:rPr>
          <w:rFonts w:ascii="Calibri" w:eastAsia="Calibri" w:hAnsi="Calibri" w:cs="Calibri"/>
        </w:rPr>
        <w:t>Gjennomgangen viser at staten etter statsstøtteregelverket har anledning til å kreve betaling fra deltakerne for EVU-aktivitet som defineres som ikke-økonomisk aktivitet</w:t>
      </w:r>
      <w:r w:rsidR="004470DD" w:rsidRPr="7625745A">
        <w:rPr>
          <w:rFonts w:ascii="Calibri" w:eastAsia="Calibri" w:hAnsi="Calibri" w:cs="Calibri"/>
        </w:rPr>
        <w:t xml:space="preserve"> </w:t>
      </w:r>
      <w:r w:rsidR="0050388A" w:rsidRPr="7625745A">
        <w:rPr>
          <w:rFonts w:ascii="Calibri" w:eastAsia="Calibri" w:hAnsi="Calibri" w:cs="Calibri"/>
        </w:rPr>
        <w:t>(</w:t>
      </w:r>
      <w:r w:rsidR="004470DD" w:rsidRPr="7625745A">
        <w:rPr>
          <w:rFonts w:ascii="Calibri" w:eastAsia="Calibri" w:hAnsi="Calibri" w:cs="Calibri"/>
        </w:rPr>
        <w:t>så fremt staten betaler hovedparten av kostnadene</w:t>
      </w:r>
      <w:r w:rsidR="0050388A" w:rsidRPr="7625745A">
        <w:rPr>
          <w:rFonts w:ascii="Calibri" w:eastAsia="Calibri" w:hAnsi="Calibri" w:cs="Calibri"/>
        </w:rPr>
        <w:t>)</w:t>
      </w:r>
      <w:r w:rsidRPr="7625745A">
        <w:rPr>
          <w:rFonts w:ascii="Calibri" w:eastAsia="Calibri" w:hAnsi="Calibri" w:cs="Calibri"/>
        </w:rPr>
        <w:t>. Staten kan ikke delfinansiere EVU-aktivitet som defineres som økonomisk aktivitet.</w:t>
      </w:r>
    </w:p>
    <w:p w14:paraId="4840D6B4" w14:textId="117B058E" w:rsidR="00F22A34" w:rsidRPr="00991100" w:rsidRDefault="00F22A34" w:rsidP="28257F58">
      <w:pPr>
        <w:rPr>
          <w:rFonts w:ascii="Calibri" w:eastAsia="Calibri" w:hAnsi="Calibri" w:cs="Calibri"/>
        </w:rPr>
      </w:pPr>
      <w:r w:rsidRPr="7625745A">
        <w:rPr>
          <w:rFonts w:ascii="Calibri" w:eastAsia="Calibri" w:hAnsi="Calibri" w:cs="Calibri"/>
        </w:rPr>
        <w:t>For arbeidsgruppen er det uklart om egenbetalingsforskriften, som angir unntakene fra gratisprinsippet, samtidig trekker et skille mellom ikke-økonomisk og økonomisk aktivitet i statsstøtteregelverkets forstand eller om egenbetalingsforskriften omfatter begge kategoriene. Dette er et viktig</w:t>
      </w:r>
      <w:r w:rsidR="28257F58" w:rsidRPr="7625745A">
        <w:rPr>
          <w:rFonts w:ascii="Calibri" w:eastAsia="Calibri" w:hAnsi="Calibri" w:cs="Calibri"/>
        </w:rPr>
        <w:t xml:space="preserve"> </w:t>
      </w:r>
      <w:r w:rsidRPr="7625745A">
        <w:rPr>
          <w:rFonts w:ascii="Calibri" w:eastAsia="Calibri" w:hAnsi="Calibri" w:cs="Calibri"/>
        </w:rPr>
        <w:t>spørsmål fordi svaret kan føre EVU-virksomheten inn i ulike kategorier</w:t>
      </w:r>
      <w:r w:rsidR="00556E42" w:rsidRPr="7625745A">
        <w:rPr>
          <w:rStyle w:val="Fotnotereferanse"/>
          <w:rFonts w:ascii="Calibri" w:eastAsia="Calibri" w:hAnsi="Calibri" w:cs="Calibri"/>
        </w:rPr>
        <w:footnoteReference w:id="18"/>
      </w:r>
      <w:r w:rsidR="004470DD" w:rsidRPr="7625745A">
        <w:rPr>
          <w:rFonts w:ascii="Calibri" w:eastAsia="Calibri" w:hAnsi="Calibri" w:cs="Calibri"/>
        </w:rPr>
        <w:t xml:space="preserve"> </w:t>
      </w:r>
      <w:r w:rsidRPr="7625745A">
        <w:rPr>
          <w:rFonts w:ascii="Calibri" w:eastAsia="Calibri" w:hAnsi="Calibri" w:cs="Calibri"/>
        </w:rPr>
        <w:t>.</w:t>
      </w:r>
    </w:p>
    <w:p w14:paraId="259CEC68" w14:textId="77777777" w:rsidR="00F22A34" w:rsidRPr="00991100" w:rsidRDefault="00F22A34" w:rsidP="00F22A34">
      <w:pPr>
        <w:rPr>
          <w:rFonts w:ascii="Calibri" w:hAnsi="Calibri"/>
        </w:rPr>
      </w:pPr>
      <w:r w:rsidRPr="00991100">
        <w:rPr>
          <w:rFonts w:ascii="Calibri" w:hAnsi="Calibri"/>
        </w:rPr>
        <w:t>Det er derfor behov for ytterligere avklaringer og presiseringer i egenbetalingsforskriften:</w:t>
      </w:r>
    </w:p>
    <w:p w14:paraId="10262913" w14:textId="77777777" w:rsidR="00F22A34" w:rsidRPr="00991100" w:rsidRDefault="1268772F" w:rsidP="00F22A34">
      <w:pPr>
        <w:numPr>
          <w:ilvl w:val="0"/>
          <w:numId w:val="31"/>
        </w:numPr>
        <w:rPr>
          <w:rFonts w:ascii="Calibri" w:hAnsi="Calibri"/>
        </w:rPr>
      </w:pPr>
      <w:r w:rsidRPr="00991100">
        <w:rPr>
          <w:rFonts w:ascii="Calibri" w:hAnsi="Calibri"/>
        </w:rPr>
        <w:t>For hvilke EVU-aktiviteter tillates egenbetaling fra enkeltstudenter (dvs. gjøres det unntak fra gratisprinsippet), jf. egenbetalingsforskriften § 3-2 bokstav a til d og under hvilken statsstøtterettslig kategori (ikke-økonomisk eller økonomisk) faller disse aktivitetene?</w:t>
      </w:r>
    </w:p>
    <w:p w14:paraId="33481F6F" w14:textId="77777777" w:rsidR="00F22A34" w:rsidRPr="00991100" w:rsidRDefault="00F22A34" w:rsidP="00F22A34">
      <w:pPr>
        <w:numPr>
          <w:ilvl w:val="0"/>
          <w:numId w:val="31"/>
        </w:numPr>
        <w:rPr>
          <w:rFonts w:ascii="Calibri" w:hAnsi="Calibri"/>
        </w:rPr>
      </w:pPr>
      <w:r w:rsidRPr="00991100">
        <w:rPr>
          <w:rFonts w:ascii="Calibri" w:hAnsi="Calibri"/>
        </w:rPr>
        <w:t xml:space="preserve">Er det en øvre grense for egenbetalingen institusjonene kan kreve fra enkeltstudentene, </w:t>
      </w:r>
      <w:proofErr w:type="spellStart"/>
      <w:r w:rsidRPr="00991100">
        <w:rPr>
          <w:rFonts w:ascii="Calibri" w:hAnsi="Calibri"/>
        </w:rPr>
        <w:t>jf</w:t>
      </w:r>
      <w:proofErr w:type="spellEnd"/>
      <w:r w:rsidRPr="00991100">
        <w:rPr>
          <w:rFonts w:ascii="Calibri" w:hAnsi="Calibri"/>
        </w:rPr>
        <w:t xml:space="preserve"> statsstøtteregelverket?</w:t>
      </w:r>
    </w:p>
    <w:p w14:paraId="70EAA6CF" w14:textId="77777777" w:rsidR="00F22A34" w:rsidRPr="00991100" w:rsidRDefault="00F22A34" w:rsidP="00F22A34">
      <w:pPr>
        <w:numPr>
          <w:ilvl w:val="0"/>
          <w:numId w:val="31"/>
        </w:numPr>
        <w:rPr>
          <w:rFonts w:ascii="Calibri" w:hAnsi="Calibri"/>
        </w:rPr>
      </w:pPr>
      <w:r w:rsidRPr="00991100">
        <w:rPr>
          <w:rFonts w:ascii="Calibri" w:hAnsi="Calibri"/>
        </w:rPr>
        <w:lastRenderedPageBreak/>
        <w:t xml:space="preserve">Det følger av hovedregelen i § 3-1 tredje ledd at statlige institusjoner ikke skal ha økonomisk fortjeneste på samarbeid med andre virksomheter om egenbetalingsfinansierte studieprogrammer eller fag/emner som de ikke kan tilby selv. Forskriften regulerer ikke om institusjonene kan og skal legge på et fortjenesteelement når EVU-aktivitetene tilbys i egenregi.   Det må klargjøres når institusjonene kan og skal legge på et fortjenesteelement ved EVU-aktiviteter som nevnt i § 3-2 bokstav a til d. </w:t>
      </w:r>
    </w:p>
    <w:p w14:paraId="40383876" w14:textId="77777777" w:rsidR="00F22A34" w:rsidRPr="00991100" w:rsidRDefault="00F22A34" w:rsidP="008540F0">
      <w:pPr>
        <w:pStyle w:val="Overskrift3"/>
        <w:numPr>
          <w:ilvl w:val="1"/>
          <w:numId w:val="23"/>
        </w:numPr>
        <w:rPr>
          <w:rFonts w:ascii="Calibri" w:hAnsi="Calibri"/>
        </w:rPr>
      </w:pPr>
      <w:bookmarkStart w:id="15" w:name="_Toc516731424"/>
      <w:r w:rsidRPr="00991100">
        <w:rPr>
          <w:rFonts w:ascii="Calibri" w:hAnsi="Calibri"/>
        </w:rPr>
        <w:t>Forslag til endringer i egenbetalingsforskriften:</w:t>
      </w:r>
      <w:bookmarkEnd w:id="15"/>
    </w:p>
    <w:p w14:paraId="47DAD578" w14:textId="77777777" w:rsidR="00F22A34" w:rsidRPr="00991100" w:rsidRDefault="00F22A34" w:rsidP="00F22A34">
      <w:pPr>
        <w:rPr>
          <w:rFonts w:ascii="Calibri" w:hAnsi="Calibri"/>
        </w:rPr>
      </w:pPr>
    </w:p>
    <w:p w14:paraId="313C24D3" w14:textId="77777777" w:rsidR="00F22A34" w:rsidRPr="00991100" w:rsidRDefault="00F22A34" w:rsidP="00F22A34">
      <w:pPr>
        <w:rPr>
          <w:rFonts w:ascii="Calibri" w:hAnsi="Calibri"/>
          <w:b/>
          <w:i/>
        </w:rPr>
      </w:pPr>
      <w:r w:rsidRPr="00991100">
        <w:rPr>
          <w:rFonts w:ascii="Calibri" w:hAnsi="Calibri"/>
          <w:b/>
          <w:i/>
        </w:rPr>
        <w:t>Kapittel 1 Innledende bestemmelser</w:t>
      </w:r>
    </w:p>
    <w:p w14:paraId="6B5D9063" w14:textId="77777777" w:rsidR="00F22A34" w:rsidRPr="00991100" w:rsidRDefault="00F22A34" w:rsidP="00F22A34">
      <w:pPr>
        <w:rPr>
          <w:rFonts w:ascii="Calibri" w:hAnsi="Calibri"/>
          <w:b/>
        </w:rPr>
      </w:pPr>
      <w:r w:rsidRPr="00991100">
        <w:rPr>
          <w:rFonts w:ascii="Calibri" w:hAnsi="Calibri"/>
          <w:b/>
        </w:rPr>
        <w:t>§ 1-2 Definisjoner</w:t>
      </w:r>
    </w:p>
    <w:p w14:paraId="7F7908B8" w14:textId="77777777" w:rsidR="00F22A34" w:rsidRPr="00991100" w:rsidRDefault="00F22A34" w:rsidP="00F22A34">
      <w:pPr>
        <w:rPr>
          <w:rFonts w:ascii="Calibri" w:hAnsi="Calibri"/>
        </w:rPr>
      </w:pPr>
      <w:r w:rsidRPr="00991100">
        <w:rPr>
          <w:rFonts w:ascii="Calibri" w:hAnsi="Calibri"/>
        </w:rPr>
        <w:t xml:space="preserve">Arbeidsgruppen foreslår å definere begrepet «egenbetaling». Videre foreslås det en mer utfyllende definisjon av «oppdrag», hvor BOA-reglementets angivelse av begrepet tas inn. </w:t>
      </w:r>
    </w:p>
    <w:p w14:paraId="61506444" w14:textId="77777777" w:rsidR="00F22A34" w:rsidRPr="00991100" w:rsidRDefault="00F22A34" w:rsidP="00F22A34">
      <w:pPr>
        <w:rPr>
          <w:rFonts w:ascii="Calibri" w:hAnsi="Calibri"/>
        </w:rPr>
      </w:pPr>
      <w:r w:rsidRPr="00991100">
        <w:rPr>
          <w:rFonts w:ascii="Calibri" w:hAnsi="Calibri"/>
        </w:rPr>
        <w:t xml:space="preserve">Forslag til ny ordlyd i § 1-2: </w:t>
      </w:r>
    </w:p>
    <w:p w14:paraId="6423746B" w14:textId="77777777" w:rsidR="007A2D65" w:rsidRPr="00991100" w:rsidRDefault="007A2D65" w:rsidP="007A2D65">
      <w:pPr>
        <w:pStyle w:val="Listeavsnitt"/>
        <w:ind w:left="0"/>
        <w:rPr>
          <w:rFonts w:ascii="Calibri" w:hAnsi="Calibri" w:cstheme="minorHAnsi"/>
          <w:i/>
        </w:rPr>
      </w:pPr>
      <w:r w:rsidRPr="00991100">
        <w:rPr>
          <w:rFonts w:ascii="Calibri" w:hAnsi="Calibri" w:cstheme="minorHAnsi"/>
          <w:i/>
        </w:rPr>
        <w:t>I denne forskrift</w:t>
      </w:r>
      <w:r w:rsidRPr="00991100">
        <w:rPr>
          <w:rFonts w:ascii="Calibri" w:hAnsi="Calibri" w:cstheme="minorHAnsi"/>
          <w:i/>
          <w:u w:val="single"/>
        </w:rPr>
        <w:t>en</w:t>
      </w:r>
      <w:r w:rsidRPr="00991100">
        <w:rPr>
          <w:rFonts w:ascii="Calibri" w:hAnsi="Calibri" w:cstheme="minorHAnsi"/>
          <w:i/>
        </w:rPr>
        <w:t xml:space="preserve"> menes </w:t>
      </w:r>
      <w:r w:rsidRPr="00991100">
        <w:rPr>
          <w:rFonts w:ascii="Calibri" w:hAnsi="Calibri" w:cstheme="minorHAnsi"/>
          <w:i/>
          <w:strike/>
        </w:rPr>
        <w:t>med</w:t>
      </w:r>
      <w:r w:rsidRPr="00991100">
        <w:rPr>
          <w:rFonts w:ascii="Calibri" w:hAnsi="Calibri" w:cstheme="minorHAnsi"/>
          <w:i/>
        </w:rPr>
        <w:t>:</w:t>
      </w:r>
    </w:p>
    <w:p w14:paraId="3F362668" w14:textId="2256323B" w:rsidR="007A2D65" w:rsidRPr="00991100" w:rsidRDefault="007A2D65" w:rsidP="262002DF">
      <w:pPr>
        <w:pStyle w:val="Listeavsnitt"/>
        <w:ind w:left="0"/>
        <w:rPr>
          <w:rFonts w:ascii="Calibri" w:eastAsia="Calibri" w:hAnsi="Calibri" w:cs="Calibri"/>
          <w:i/>
        </w:rPr>
      </w:pPr>
      <w:r w:rsidRPr="262002DF">
        <w:rPr>
          <w:rFonts w:ascii="Calibri" w:eastAsia="Calibri" w:hAnsi="Calibri" w:cs="Calibri"/>
          <w:i/>
          <w:iCs/>
        </w:rPr>
        <w:t xml:space="preserve">a) </w:t>
      </w:r>
      <w:r w:rsidRPr="262002DF">
        <w:rPr>
          <w:rFonts w:ascii="Calibri" w:eastAsia="Calibri" w:hAnsi="Calibri" w:cs="Calibri"/>
          <w:i/>
          <w:iCs/>
          <w:u w:val="single"/>
        </w:rPr>
        <w:t>egenbetaling: studentens andel av kostnadene ved studietilbudet.</w:t>
      </w:r>
      <w:r w:rsidR="007D56B7" w:rsidRPr="262002DF">
        <w:rPr>
          <w:rFonts w:ascii="Calibri" w:eastAsia="Calibri" w:hAnsi="Calibri" w:cs="Calibri"/>
          <w:i/>
          <w:iCs/>
          <w:u w:val="single"/>
        </w:rPr>
        <w:t xml:space="preserve"> </w:t>
      </w:r>
      <w:r w:rsidR="002519CA" w:rsidRPr="262002DF">
        <w:rPr>
          <w:rStyle w:val="Fotnotereferanse"/>
          <w:rFonts w:ascii="Calibri" w:eastAsia="Calibri" w:hAnsi="Calibri" w:cs="Calibri"/>
          <w:i/>
          <w:iCs/>
          <w:u w:val="single"/>
        </w:rPr>
        <w:footnoteReference w:id="19"/>
      </w:r>
    </w:p>
    <w:p w14:paraId="1B6C2F16" w14:textId="77777777" w:rsidR="007A2D65" w:rsidRPr="00991100" w:rsidRDefault="007A2D65" w:rsidP="007A2D65">
      <w:pPr>
        <w:pStyle w:val="Listeavsnitt"/>
        <w:ind w:left="0"/>
        <w:rPr>
          <w:rFonts w:ascii="Calibri" w:hAnsi="Calibri" w:cstheme="minorHAnsi"/>
          <w:i/>
        </w:rPr>
      </w:pPr>
      <w:r w:rsidRPr="00991100">
        <w:rPr>
          <w:rFonts w:ascii="Calibri" w:hAnsi="Calibri" w:cstheme="minorHAnsi"/>
          <w:i/>
          <w:strike/>
        </w:rPr>
        <w:t>a)</w:t>
      </w:r>
      <w:r w:rsidRPr="00991100">
        <w:rPr>
          <w:rFonts w:ascii="Calibri" w:hAnsi="Calibri" w:cstheme="minorHAnsi"/>
          <w:i/>
        </w:rPr>
        <w:t xml:space="preserve"> </w:t>
      </w:r>
      <w:r w:rsidRPr="00991100">
        <w:rPr>
          <w:rFonts w:ascii="Calibri" w:hAnsi="Calibri" w:cstheme="minorHAnsi"/>
          <w:i/>
          <w:u w:val="single"/>
        </w:rPr>
        <w:t>b)</w:t>
      </w:r>
      <w:r w:rsidRPr="00991100">
        <w:rPr>
          <w:rFonts w:ascii="Calibri" w:hAnsi="Calibri" w:cstheme="minorHAnsi"/>
          <w:i/>
        </w:rPr>
        <w:t xml:space="preserve"> fag/emne: fag/emner er de minste studiepoenggivende enheter med faglig innhold fastsatt av institusjonen. </w:t>
      </w:r>
    </w:p>
    <w:p w14:paraId="20572786" w14:textId="77777777" w:rsidR="007A2D65" w:rsidRPr="00991100" w:rsidRDefault="007A2D65" w:rsidP="007A2D65">
      <w:pPr>
        <w:pStyle w:val="Listeavsnitt"/>
        <w:ind w:left="0"/>
        <w:rPr>
          <w:rFonts w:ascii="Calibri" w:hAnsi="Calibri" w:cstheme="minorHAnsi"/>
          <w:i/>
        </w:rPr>
      </w:pPr>
      <w:r w:rsidRPr="00991100">
        <w:rPr>
          <w:rFonts w:ascii="Calibri" w:hAnsi="Calibri" w:cstheme="minorHAnsi"/>
          <w:i/>
          <w:strike/>
        </w:rPr>
        <w:t>b)</w:t>
      </w:r>
      <w:r w:rsidRPr="00991100">
        <w:rPr>
          <w:rFonts w:ascii="Calibri" w:hAnsi="Calibri" w:cstheme="minorHAnsi"/>
          <w:i/>
        </w:rPr>
        <w:t xml:space="preserve"> </w:t>
      </w:r>
      <w:r w:rsidRPr="00991100">
        <w:rPr>
          <w:rFonts w:ascii="Calibri" w:hAnsi="Calibri" w:cstheme="minorHAnsi"/>
          <w:i/>
          <w:u w:val="single"/>
        </w:rPr>
        <w:t>c)</w:t>
      </w:r>
      <w:r w:rsidRPr="00991100">
        <w:rPr>
          <w:rFonts w:ascii="Calibri" w:hAnsi="Calibri" w:cstheme="minorHAnsi"/>
          <w:i/>
        </w:rPr>
        <w:t xml:space="preserve"> studieprogram: studieprogram er en gitt samling fag/emner som er fastsatt i studieplan, som studenter tas opp til, og som fører fram til grads- eller yrkesutdanning. </w:t>
      </w:r>
    </w:p>
    <w:p w14:paraId="4A9412ED" w14:textId="77777777" w:rsidR="007A2D65" w:rsidRPr="00991100" w:rsidRDefault="007A2D65" w:rsidP="007A2D65">
      <w:pPr>
        <w:pStyle w:val="Listeavsnitt"/>
        <w:ind w:left="0"/>
        <w:rPr>
          <w:rFonts w:ascii="Calibri" w:hAnsi="Calibri" w:cstheme="minorHAnsi"/>
          <w:i/>
        </w:rPr>
      </w:pPr>
      <w:r w:rsidRPr="00991100">
        <w:rPr>
          <w:rFonts w:ascii="Calibri" w:hAnsi="Calibri" w:cstheme="minorHAnsi"/>
          <w:i/>
          <w:strike/>
        </w:rPr>
        <w:t>c)</w:t>
      </w:r>
      <w:r w:rsidRPr="00991100">
        <w:rPr>
          <w:rFonts w:ascii="Calibri" w:hAnsi="Calibri" w:cstheme="minorHAnsi"/>
          <w:i/>
        </w:rPr>
        <w:t xml:space="preserve"> </w:t>
      </w:r>
      <w:r w:rsidRPr="00991100">
        <w:rPr>
          <w:rFonts w:ascii="Calibri" w:hAnsi="Calibri" w:cstheme="minorHAnsi"/>
          <w:i/>
          <w:u w:val="single"/>
        </w:rPr>
        <w:t>d)</w:t>
      </w:r>
      <w:r w:rsidRPr="00991100">
        <w:rPr>
          <w:rFonts w:ascii="Calibri" w:hAnsi="Calibri" w:cstheme="minorHAnsi"/>
          <w:i/>
        </w:rPr>
        <w:t xml:space="preserve"> kurs: utdanning som ikke gir studiepoeng. </w:t>
      </w:r>
    </w:p>
    <w:p w14:paraId="2DA6E05F" w14:textId="500D5ED6" w:rsidR="007A2D65" w:rsidRPr="00991100" w:rsidRDefault="007A2D65" w:rsidP="007A2D65">
      <w:pPr>
        <w:pStyle w:val="Listeavsnitt"/>
        <w:ind w:left="0"/>
        <w:rPr>
          <w:rFonts w:ascii="Calibri" w:hAnsi="Calibri" w:cstheme="minorHAnsi"/>
          <w:i/>
        </w:rPr>
      </w:pPr>
      <w:r w:rsidRPr="00991100">
        <w:rPr>
          <w:rFonts w:ascii="Calibri" w:hAnsi="Calibri" w:cstheme="minorHAnsi"/>
          <w:i/>
          <w:strike/>
        </w:rPr>
        <w:t>d)</w:t>
      </w:r>
      <w:r w:rsidRPr="00991100">
        <w:rPr>
          <w:rFonts w:ascii="Calibri" w:hAnsi="Calibri" w:cstheme="minorHAnsi"/>
          <w:i/>
        </w:rPr>
        <w:t xml:space="preserve"> </w:t>
      </w:r>
      <w:r w:rsidRPr="00991100">
        <w:rPr>
          <w:rFonts w:ascii="Calibri" w:hAnsi="Calibri" w:cstheme="minorHAnsi"/>
          <w:i/>
          <w:u w:val="single"/>
        </w:rPr>
        <w:t>e)</w:t>
      </w:r>
      <w:r w:rsidRPr="00991100">
        <w:rPr>
          <w:rFonts w:ascii="Calibri" w:hAnsi="Calibri" w:cstheme="minorHAnsi"/>
          <w:i/>
        </w:rPr>
        <w:t xml:space="preserve"> oppdrag: </w:t>
      </w:r>
      <w:r w:rsidRPr="00991100">
        <w:rPr>
          <w:rFonts w:ascii="Calibri" w:hAnsi="Calibri" w:cstheme="minorHAnsi"/>
          <w:i/>
          <w:u w:val="single"/>
        </w:rPr>
        <w:t xml:space="preserve">prosjekter institusjonen utfører mot betaling fra ekstern(e) oppdragsgiver(e) når det foreligger et krav om motytelse fra institusjonen når avtale/kontrakt inngås </w:t>
      </w:r>
      <w:r w:rsidRPr="00991100">
        <w:rPr>
          <w:rFonts w:ascii="Calibri" w:hAnsi="Calibri" w:cstheme="minorHAnsi"/>
          <w:i/>
          <w:strike/>
        </w:rPr>
        <w:t>omsetning av forsknings-, undervisnings- og andre tjenester mot vederlag</w:t>
      </w:r>
      <w:r w:rsidRPr="00991100">
        <w:rPr>
          <w:rFonts w:ascii="Calibri" w:hAnsi="Calibri" w:cstheme="minorHAnsi"/>
          <w:i/>
        </w:rPr>
        <w:t>, og som ikke e</w:t>
      </w:r>
      <w:r w:rsidR="002519CA">
        <w:rPr>
          <w:rFonts w:ascii="Calibri" w:hAnsi="Calibri" w:cstheme="minorHAnsi"/>
          <w:i/>
        </w:rPr>
        <w:t xml:space="preserve">r </w:t>
      </w:r>
      <w:r w:rsidRPr="00991100">
        <w:rPr>
          <w:rFonts w:ascii="Calibri" w:hAnsi="Calibri" w:cstheme="minorHAnsi"/>
          <w:i/>
        </w:rPr>
        <w:t xml:space="preserve">rettet mot enkeltstudenter. </w:t>
      </w:r>
    </w:p>
    <w:p w14:paraId="2165115B" w14:textId="77777777" w:rsidR="00F22A34" w:rsidRPr="00991100" w:rsidRDefault="00F22A34" w:rsidP="00F22A34">
      <w:pPr>
        <w:rPr>
          <w:rFonts w:ascii="Calibri" w:hAnsi="Calibri"/>
          <w:b/>
          <w:i/>
        </w:rPr>
      </w:pPr>
      <w:r w:rsidRPr="00991100">
        <w:rPr>
          <w:rFonts w:ascii="Calibri" w:hAnsi="Calibri"/>
          <w:b/>
          <w:i/>
        </w:rPr>
        <w:t>Kapittel 3 Bestemmelser for statlige institusjoner</w:t>
      </w:r>
    </w:p>
    <w:p w14:paraId="3D579ECF" w14:textId="70338B78" w:rsidR="00F22A34" w:rsidRDefault="00F22A34" w:rsidP="00F22A34">
      <w:pPr>
        <w:rPr>
          <w:rFonts w:ascii="Calibri" w:hAnsi="Calibri"/>
        </w:rPr>
      </w:pPr>
      <w:r w:rsidRPr="00991100">
        <w:rPr>
          <w:rFonts w:ascii="Calibri" w:hAnsi="Calibri"/>
        </w:rPr>
        <w:t>Innholdet og rekkefølgen i bestemmelsene i kapittel 3</w:t>
      </w:r>
      <w:r w:rsidR="00AC1B5E" w:rsidRPr="00991100">
        <w:rPr>
          <w:rFonts w:ascii="Calibri" w:hAnsi="Calibri"/>
        </w:rPr>
        <w:t xml:space="preserve"> </w:t>
      </w:r>
      <w:r w:rsidR="0050388A">
        <w:rPr>
          <w:rFonts w:ascii="Calibri" w:hAnsi="Calibri"/>
        </w:rPr>
        <w:t>i</w:t>
      </w:r>
      <w:r w:rsidR="00AC1B5E" w:rsidRPr="00991100">
        <w:rPr>
          <w:rFonts w:ascii="Calibri" w:hAnsi="Calibri"/>
        </w:rPr>
        <w:t xml:space="preserve"> egenbetalingsforskriften</w:t>
      </w:r>
      <w:r w:rsidRPr="00991100">
        <w:rPr>
          <w:rFonts w:ascii="Calibri" w:hAnsi="Calibri"/>
        </w:rPr>
        <w:t xml:space="preserve"> bør gjennomgås. Det er vanskelig å lese utfra bestemmelsene om for eksempel § 3-2 annet ledd skal leses i sammenheng med § 3-1 annet og tredje ledd. Vi vil derfor foreslå at kapittel 3 starter med en bestemmelse om når det kan kreves egenbetaling, deretter en bestemmelse vedrørende størrelsen på egenbetalingen, samt en egen bestemmelse om adgangen til å ta fortjeneste. Vi vil imidlertid kommentere bestemmelsene etter dagens struktur.</w:t>
      </w:r>
    </w:p>
    <w:p w14:paraId="047A7195" w14:textId="77777777" w:rsidR="00831884" w:rsidRDefault="00831884" w:rsidP="00F22A34">
      <w:pPr>
        <w:rPr>
          <w:rFonts w:ascii="Calibri" w:hAnsi="Calibri"/>
        </w:rPr>
      </w:pPr>
    </w:p>
    <w:p w14:paraId="6574415D" w14:textId="77777777" w:rsidR="00F22A34" w:rsidRPr="00991100" w:rsidRDefault="00F22A34" w:rsidP="00F22A34">
      <w:pPr>
        <w:rPr>
          <w:rFonts w:ascii="Calibri" w:hAnsi="Calibri"/>
          <w:b/>
          <w:i/>
        </w:rPr>
      </w:pPr>
      <w:r w:rsidRPr="00991100">
        <w:rPr>
          <w:rFonts w:ascii="Calibri" w:hAnsi="Calibri"/>
          <w:b/>
          <w:i/>
        </w:rPr>
        <w:lastRenderedPageBreak/>
        <w:t>§ 3-1 Hovedregel</w:t>
      </w:r>
    </w:p>
    <w:p w14:paraId="37FC88A4" w14:textId="77777777" w:rsidR="00F22A34" w:rsidRPr="00991100" w:rsidRDefault="00F22A34" w:rsidP="00F22A34">
      <w:pPr>
        <w:rPr>
          <w:rFonts w:ascii="Calibri" w:hAnsi="Calibri"/>
          <w:i/>
        </w:rPr>
      </w:pPr>
      <w:r w:rsidRPr="00991100">
        <w:rPr>
          <w:rFonts w:ascii="Calibri" w:hAnsi="Calibri"/>
        </w:rPr>
        <w:t>Arbeidsgruppen foreslår at det i § 3-1 legges inn en presisering som regulerer hvorvidt det kan tas fortjeneste når utdanningsinstitusjonene i egenregi tilbyr et studium, hvor det etter unntaksbestemmelsene i § 3-2 bokstav a til d kan kreves egenbetaling fra studentene. Etter eksempeltabellen til F-07-13 skal det legges på fortjeneste i salgskategorien, mens egenbetalingsforskriften gir uttrykk for det motsatte i samarbeidsrelasjonene. Det er derfor et behov for en presisering i egenbetalingsforskriften.</w:t>
      </w:r>
    </w:p>
    <w:p w14:paraId="6E12DF15" w14:textId="77777777" w:rsidR="00F22A34" w:rsidRPr="00991100" w:rsidRDefault="00F22A34" w:rsidP="00F22A34">
      <w:pPr>
        <w:rPr>
          <w:rFonts w:ascii="Calibri" w:hAnsi="Calibri"/>
          <w:b/>
        </w:rPr>
      </w:pPr>
      <w:r w:rsidRPr="00991100">
        <w:rPr>
          <w:rFonts w:ascii="Calibri" w:hAnsi="Calibri"/>
          <w:b/>
          <w:i/>
        </w:rPr>
        <w:t xml:space="preserve">§ 3-2 Unntak – egenbetaling for kurs og studieprogrammer </w:t>
      </w:r>
    </w:p>
    <w:p w14:paraId="65050ADC" w14:textId="77777777" w:rsidR="00F22A34" w:rsidRPr="00991100" w:rsidRDefault="00F22A34" w:rsidP="00F22A34">
      <w:pPr>
        <w:numPr>
          <w:ilvl w:val="0"/>
          <w:numId w:val="32"/>
        </w:numPr>
        <w:rPr>
          <w:rFonts w:ascii="Calibri" w:hAnsi="Calibri"/>
        </w:rPr>
      </w:pPr>
      <w:r w:rsidRPr="00991100">
        <w:rPr>
          <w:rFonts w:ascii="Calibri" w:hAnsi="Calibri"/>
        </w:rPr>
        <w:t>Kurs og erfaringsbaserte mastergrader</w:t>
      </w:r>
    </w:p>
    <w:p w14:paraId="0D7E78DC" w14:textId="2B609E24" w:rsidR="00F22A34" w:rsidRPr="00991100" w:rsidRDefault="00F22A34" w:rsidP="28257F58">
      <w:pPr>
        <w:rPr>
          <w:rFonts w:ascii="Calibri" w:eastAsia="Calibri" w:hAnsi="Calibri" w:cs="Calibri"/>
        </w:rPr>
      </w:pPr>
      <w:r w:rsidRPr="7625745A">
        <w:rPr>
          <w:rFonts w:ascii="Calibri" w:eastAsia="Calibri" w:hAnsi="Calibri" w:cs="Calibri"/>
        </w:rPr>
        <w:t>Som nevnt ovenfor er det et viktig skille mellom aktiviteter som anses som en del av det ordinære utdanningssystemet</w:t>
      </w:r>
      <w:r w:rsidR="00ED0FF8" w:rsidRPr="7625745A">
        <w:rPr>
          <w:rFonts w:ascii="Calibri" w:eastAsia="Calibri" w:hAnsi="Calibri" w:cs="Calibri"/>
        </w:rPr>
        <w:t xml:space="preserve"> (ikke</w:t>
      </w:r>
      <w:r w:rsidR="28257F58" w:rsidRPr="7625745A">
        <w:rPr>
          <w:rFonts w:ascii="Calibri" w:eastAsia="Calibri" w:hAnsi="Calibri" w:cs="Calibri"/>
        </w:rPr>
        <w:t>-</w:t>
      </w:r>
      <w:r w:rsidR="00ED0FF8" w:rsidRPr="7625745A">
        <w:rPr>
          <w:rFonts w:ascii="Calibri" w:eastAsia="Calibri" w:hAnsi="Calibri" w:cs="Calibri"/>
        </w:rPr>
        <w:t>økonomisk aktivitet)</w:t>
      </w:r>
      <w:r w:rsidRPr="7625745A">
        <w:rPr>
          <w:rFonts w:ascii="Calibri" w:eastAsia="Calibri" w:hAnsi="Calibri" w:cs="Calibri"/>
        </w:rPr>
        <w:t xml:space="preserve"> og aktiviteter som faller utenfor</w:t>
      </w:r>
      <w:r w:rsidR="00ED0FF8" w:rsidRPr="7625745A">
        <w:rPr>
          <w:rFonts w:ascii="Calibri" w:eastAsia="Calibri" w:hAnsi="Calibri" w:cs="Calibri"/>
        </w:rPr>
        <w:t xml:space="preserve"> (økonomisk aktivitet)</w:t>
      </w:r>
      <w:r w:rsidRPr="7625745A">
        <w:rPr>
          <w:rFonts w:ascii="Calibri" w:eastAsia="Calibri" w:hAnsi="Calibri" w:cs="Calibri"/>
        </w:rPr>
        <w:t xml:space="preserve">. Det er uklart for arbeidsgruppen om kurs og erfaringsbaserte mastere skal anses som en del av det ordinære utdanningssystemet eller ikke, eller om de, basert på egenbetalingsforskriftens systematikk, kan falle innenfor begge kategorier. Kurs vil normalt </w:t>
      </w:r>
      <w:r w:rsidRPr="00A56AB0">
        <w:rPr>
          <w:rFonts w:ascii="Calibri" w:eastAsia="Calibri" w:hAnsi="Calibri" w:cs="Calibri"/>
          <w:i/>
        </w:rPr>
        <w:t>ikke</w:t>
      </w:r>
      <w:r w:rsidRPr="7625745A">
        <w:rPr>
          <w:rFonts w:ascii="Calibri" w:eastAsia="Calibri" w:hAnsi="Calibri" w:cs="Calibri"/>
        </w:rPr>
        <w:t xml:space="preserve"> bli ansett for å være en del av det ordinære utdanningssystemet da kurs kan være i konkurranse med aktiviteter som allerede finnes i markedet. For erfaringsbaserte mastere kan oppfatningen være en annen, siden det kun er gradsgivende institusjoner som kan tildele studiepoeng. Dette kan tale for at det er en del av det ordinære studietilbudet og dermed ikke-økonomisk aktivitet. Erfaringsbaserte mastere kan imidlertid også anses å være økonomisk aktivitet, og det er etter arbeidsgruppens vurdering et behov for at bestemmelsen tydeliggjøres. </w:t>
      </w:r>
    </w:p>
    <w:p w14:paraId="47EF48B8" w14:textId="77777777" w:rsidR="00F22A34" w:rsidRPr="00991100" w:rsidRDefault="00F22A34" w:rsidP="00F22A34">
      <w:pPr>
        <w:numPr>
          <w:ilvl w:val="0"/>
          <w:numId w:val="32"/>
        </w:numPr>
        <w:rPr>
          <w:rFonts w:ascii="Calibri" w:hAnsi="Calibri"/>
        </w:rPr>
      </w:pPr>
      <w:r w:rsidRPr="00991100">
        <w:rPr>
          <w:rFonts w:ascii="Calibri" w:hAnsi="Calibri"/>
        </w:rPr>
        <w:t xml:space="preserve">Fag/emner som </w:t>
      </w:r>
      <w:r w:rsidRPr="00991100">
        <w:rPr>
          <w:rFonts w:ascii="Calibri" w:hAnsi="Calibri"/>
          <w:i/>
        </w:rPr>
        <w:t>normalt</w:t>
      </w:r>
      <w:r w:rsidRPr="00991100">
        <w:rPr>
          <w:rFonts w:ascii="Calibri" w:hAnsi="Calibri"/>
        </w:rPr>
        <w:t xml:space="preserve"> ikke er del av studieprogram som fører fram til grad eller yrkesutdanning</w:t>
      </w:r>
    </w:p>
    <w:p w14:paraId="41C5888B" w14:textId="37FF4367" w:rsidR="00F22A34" w:rsidRPr="00991100" w:rsidRDefault="00F22A34" w:rsidP="00F22A34">
      <w:pPr>
        <w:rPr>
          <w:rFonts w:ascii="Calibri" w:hAnsi="Calibri"/>
        </w:rPr>
      </w:pPr>
      <w:r w:rsidRPr="00991100">
        <w:rPr>
          <w:rFonts w:ascii="Calibri" w:hAnsi="Calibri"/>
        </w:rPr>
        <w:t xml:space="preserve">Det følger av § 3-2 første ledd bokstav b at det kan kreves egenbetaling for fag/emner som </w:t>
      </w:r>
      <w:r w:rsidRPr="00991100">
        <w:rPr>
          <w:rFonts w:ascii="Calibri" w:hAnsi="Calibri"/>
          <w:i/>
        </w:rPr>
        <w:t>normalt</w:t>
      </w:r>
      <w:r w:rsidRPr="00991100">
        <w:rPr>
          <w:rFonts w:ascii="Calibri" w:hAnsi="Calibri"/>
        </w:rPr>
        <w:t xml:space="preserve"> ikke er del av studieprogram som fører fram til grad eller yrkesutdanning. Bestemmelsen oppleves som uklar, da det ikke er en omforent forståelse av hva som ligger i uttrykket «normalt». I dag tilbyr utdanningsinstitusjonene i større grad selvkomponerte bachelorgrader, hvor fag og emner som i utgangspunktet ikke er en del av et gradsgivende studieprogram, kan innpasses og således inngå i en grad. Slik bestemmelsen er formulert i dag, er det uklart hvor grensen går for hva som omfattes og ikke. Det vises videre til at man har tilfeller hvor et studiepoenggivende emne som «normalt ikke er en del av et studieprogram» </w:t>
      </w:r>
      <w:r w:rsidRPr="00991100">
        <w:rPr>
          <w:rFonts w:ascii="Calibri" w:hAnsi="Calibri"/>
          <w:i/>
        </w:rPr>
        <w:t>delvis</w:t>
      </w:r>
      <w:r w:rsidRPr="00991100">
        <w:rPr>
          <w:rFonts w:ascii="Calibri" w:hAnsi="Calibri"/>
        </w:rPr>
        <w:t xml:space="preserve"> kan innpasses i institusjonens egen ordinære studieprogramportefølje/</w:t>
      </w:r>
      <w:proofErr w:type="spellStart"/>
      <w:r w:rsidRPr="00991100">
        <w:rPr>
          <w:rFonts w:ascii="Calibri" w:hAnsi="Calibri"/>
        </w:rPr>
        <w:t>faggrad</w:t>
      </w:r>
      <w:proofErr w:type="spellEnd"/>
      <w:r w:rsidRPr="00991100">
        <w:rPr>
          <w:rFonts w:ascii="Calibri" w:hAnsi="Calibri"/>
        </w:rPr>
        <w:t>. Hvor går grensen for faglig overlapp når man tilbyr betalingsstudier som kan konkurrere med institusjonens ordinære virksomhet? Selvkomponerte bachelorgrader har ingen studieplan med en angivelse av hvilke fag og emner som inngår i graden, og etter arbeidsgruppens forståelse vil disse derfor være omfattet av unntaket. Arbeidsgruppen foreslår at «normalt» tas ut og at det i merknaden</w:t>
      </w:r>
      <w:r w:rsidRPr="00991100">
        <w:rPr>
          <w:rFonts w:ascii="Calibri" w:hAnsi="Calibri"/>
          <w:b/>
        </w:rPr>
        <w:t xml:space="preserve"> </w:t>
      </w:r>
      <w:r w:rsidRPr="00991100">
        <w:rPr>
          <w:rFonts w:ascii="Calibri" w:hAnsi="Calibri"/>
        </w:rPr>
        <w:t>presiseres at dette omfatter gradsgivende studieprogram med en fastsatt studieplan, jf. definisjonen i § 1-2 bokstav b. Det foreslås videre at det i merknaden presiseres at dette medfører at alle studietilbud som ikke fører til en grad, som for eksempel et halvårs-</w:t>
      </w:r>
      <w:r w:rsidRPr="00991100">
        <w:rPr>
          <w:rFonts w:ascii="Calibri" w:hAnsi="Calibri"/>
        </w:rPr>
        <w:lastRenderedPageBreak/>
        <w:t xml:space="preserve">/årsstudium som klart ikke kan innpasses i en grad som tilbys ved den aktuelle utdanningsinstitusjonen, kan unntas fra gratisprinsippet. </w:t>
      </w:r>
    </w:p>
    <w:p w14:paraId="52142432" w14:textId="77777777" w:rsidR="00F22A34" w:rsidRPr="00991100" w:rsidRDefault="00F22A34" w:rsidP="00F22A34">
      <w:pPr>
        <w:rPr>
          <w:rFonts w:ascii="Calibri" w:hAnsi="Calibri"/>
        </w:rPr>
      </w:pPr>
      <w:r w:rsidRPr="00991100">
        <w:rPr>
          <w:rFonts w:ascii="Calibri" w:hAnsi="Calibri"/>
        </w:rPr>
        <w:t>c) Studenter som fyller opp ledige plasser på studieprogram eller fag/emner som er oppdragsfinansiert</w:t>
      </w:r>
    </w:p>
    <w:p w14:paraId="69BD7AFD" w14:textId="77777777" w:rsidR="00F22A34" w:rsidRPr="00991100" w:rsidRDefault="00F22A34" w:rsidP="00F22A34">
      <w:pPr>
        <w:rPr>
          <w:rFonts w:ascii="Calibri" w:hAnsi="Calibri"/>
        </w:rPr>
      </w:pPr>
      <w:r w:rsidRPr="00991100">
        <w:rPr>
          <w:rFonts w:ascii="Calibri" w:hAnsi="Calibri"/>
        </w:rPr>
        <w:t xml:space="preserve">§ 3-2 første ledd bokstav d) gjør unntak for studenter som fyller opp ledige plasser på studieprogram eller fag/emner som er oppdragsfinansiert. Det er ikke nærmere angitt hvilken betaling som kan kreves av disse enkeltstudentene. Videre er det uklart i hvilken grad institusjonen selv kan gå inn med egenfinansiering, jf. annet ledd. Arbeidsgruppen foreslår at dette avklares og beskrives nærmere i merknaden. </w:t>
      </w:r>
    </w:p>
    <w:p w14:paraId="25241A2C" w14:textId="77777777" w:rsidR="00F22A34" w:rsidRPr="00991100" w:rsidRDefault="00F22A34" w:rsidP="00F22A34">
      <w:pPr>
        <w:rPr>
          <w:rFonts w:ascii="Calibri" w:hAnsi="Calibri"/>
        </w:rPr>
      </w:pPr>
      <w:r w:rsidRPr="00991100">
        <w:rPr>
          <w:rFonts w:ascii="Calibri" w:hAnsi="Calibri"/>
        </w:rPr>
        <w:t>d) Størrelsen på egenbetalingen</w:t>
      </w:r>
    </w:p>
    <w:p w14:paraId="750CD0CA" w14:textId="77777777" w:rsidR="00F22A34" w:rsidRPr="00991100" w:rsidRDefault="00F22A34" w:rsidP="00F22A34">
      <w:pPr>
        <w:rPr>
          <w:rFonts w:ascii="Calibri" w:hAnsi="Calibri"/>
        </w:rPr>
      </w:pPr>
      <w:r w:rsidRPr="00991100">
        <w:rPr>
          <w:rFonts w:ascii="Calibri" w:hAnsi="Calibri"/>
        </w:rPr>
        <w:t xml:space="preserve">§ 3-2 annet ledd angir at egenbetaling fra studentene kan dekke kostnadene fullt ut eller delvis. </w:t>
      </w:r>
    </w:p>
    <w:p w14:paraId="07B2C82D" w14:textId="4D6541FE" w:rsidR="00F22A34" w:rsidRPr="00991100" w:rsidRDefault="00F22A34" w:rsidP="28257F58">
      <w:pPr>
        <w:rPr>
          <w:rFonts w:ascii="Calibri" w:eastAsia="Calibri" w:hAnsi="Calibri" w:cs="Calibri"/>
        </w:rPr>
      </w:pPr>
      <w:r w:rsidRPr="7625745A">
        <w:rPr>
          <w:rFonts w:ascii="Calibri" w:eastAsia="Calibri" w:hAnsi="Calibri" w:cs="Calibri"/>
        </w:rPr>
        <w:t>Det er presisert i brevet fra KD at hovedregelen enten er full kostnadsdekning eller ingen egenbetaling, men at det kan tenkes enkelte sæ</w:t>
      </w:r>
      <w:r w:rsidR="00323947" w:rsidRPr="7625745A">
        <w:rPr>
          <w:rFonts w:ascii="Calibri" w:eastAsia="Calibri" w:hAnsi="Calibri" w:cs="Calibri"/>
        </w:rPr>
        <w:t xml:space="preserve">rskilte unntak. </w:t>
      </w:r>
      <w:r w:rsidRPr="7625745A">
        <w:rPr>
          <w:rFonts w:ascii="Calibri" w:eastAsia="Calibri" w:hAnsi="Calibri" w:cs="Calibri"/>
        </w:rPr>
        <w:t>Arbeidsgruppen foreslår at merknaden presiserer hvilket omfang delfinansieringen fra institusjonenes kan ha når institusjonene utøver ikke-økonomisk aktivitet. For den økonomiske aktiviteten er institusjonene forpliktet til å kreve dekning av de fulle kostnadene.</w:t>
      </w:r>
    </w:p>
    <w:p w14:paraId="169BF339" w14:textId="77777777" w:rsidR="00F22A34" w:rsidRPr="00991100" w:rsidRDefault="00F22A34" w:rsidP="008540F0">
      <w:pPr>
        <w:pStyle w:val="Overskrift3"/>
        <w:numPr>
          <w:ilvl w:val="1"/>
          <w:numId w:val="23"/>
        </w:numPr>
        <w:rPr>
          <w:rFonts w:ascii="Calibri" w:hAnsi="Calibri"/>
        </w:rPr>
      </w:pPr>
      <w:bookmarkStart w:id="16" w:name="_Toc516731425"/>
      <w:r w:rsidRPr="00991100">
        <w:rPr>
          <w:rFonts w:ascii="Calibri" w:hAnsi="Calibri"/>
        </w:rPr>
        <w:t>Oppsummering</w:t>
      </w:r>
      <w:bookmarkEnd w:id="16"/>
    </w:p>
    <w:p w14:paraId="03AFB281" w14:textId="42BD0A26" w:rsidR="00A56AB0" w:rsidRDefault="00F22A34" w:rsidP="00A56AB0">
      <w:pPr>
        <w:pBdr>
          <w:bottom w:val="single" w:sz="6" w:space="15" w:color="auto"/>
        </w:pBdr>
        <w:rPr>
          <w:rFonts w:ascii="Calibri" w:hAnsi="Calibri"/>
        </w:rPr>
      </w:pPr>
      <w:r w:rsidRPr="00991100">
        <w:rPr>
          <w:rFonts w:ascii="Calibri" w:hAnsi="Calibri"/>
        </w:rPr>
        <w:t xml:space="preserve">Institusjonene bruker til sammen mye ressurser på å utrede og forstå hvilke rammebetingelser som gjelder for EVU-aktiviteten. De ovennevnte spørsmålene er viktige da de legger føringer for tilbudet av EVU-aktiviteter, hva som skal tilbys og på hvilke vilkår. Dette er spørsmål som må klargjøres både i det nåværende regelverket og i det større arbeidet med å gjennomgå universitets- og høyskoleloven med tilhørende forskrifter.  </w:t>
      </w:r>
    </w:p>
    <w:p w14:paraId="693B33A3" w14:textId="77777777" w:rsidR="00831884" w:rsidRDefault="00831884" w:rsidP="00A56AB0">
      <w:pPr>
        <w:pBdr>
          <w:bottom w:val="single" w:sz="6" w:space="15" w:color="auto"/>
        </w:pBdr>
        <w:rPr>
          <w:rFonts w:ascii="Calibri" w:hAnsi="Calibri"/>
        </w:rPr>
      </w:pPr>
    </w:p>
    <w:p w14:paraId="74DC9631" w14:textId="48783B0D" w:rsidR="00831884" w:rsidRDefault="00831884">
      <w:pPr>
        <w:spacing w:after="160" w:afterAutospacing="0" w:line="259" w:lineRule="auto"/>
        <w:rPr>
          <w:rFonts w:eastAsiaTheme="majorEastAsia" w:cstheme="majorBidi"/>
          <w:b/>
          <w:sz w:val="32"/>
          <w:szCs w:val="26"/>
        </w:rPr>
      </w:pPr>
      <w:r>
        <w:br w:type="page"/>
      </w:r>
    </w:p>
    <w:p w14:paraId="53EEE4DE" w14:textId="009BD239" w:rsidR="007D0EB1" w:rsidRPr="009355B9" w:rsidRDefault="1268772F" w:rsidP="00831884">
      <w:pPr>
        <w:pStyle w:val="Overskrift2"/>
        <w:numPr>
          <w:ilvl w:val="0"/>
          <w:numId w:val="23"/>
        </w:numPr>
      </w:pPr>
      <w:bookmarkStart w:id="17" w:name="_Toc516731426"/>
      <w:r>
        <w:lastRenderedPageBreak/>
        <w:t>Praksis i sektoren - analyser og vurderinger</w:t>
      </w:r>
      <w:bookmarkEnd w:id="17"/>
    </w:p>
    <w:p w14:paraId="33172425" w14:textId="77777777" w:rsidR="001B32BD" w:rsidRDefault="0016387E" w:rsidP="00671691">
      <w:pPr>
        <w:pStyle w:val="Overskrift3"/>
        <w:numPr>
          <w:ilvl w:val="1"/>
          <w:numId w:val="23"/>
        </w:numPr>
      </w:pPr>
      <w:bookmarkStart w:id="18" w:name="_Toc516731427"/>
      <w:r>
        <w:t>Tallgrunnlag</w:t>
      </w:r>
      <w:bookmarkEnd w:id="18"/>
    </w:p>
    <w:p w14:paraId="19D27310" w14:textId="6A1FA3CA" w:rsidR="001B32BD" w:rsidRPr="004E1492" w:rsidRDefault="001B32BD" w:rsidP="001B32BD">
      <w:r w:rsidRPr="004E1492">
        <w:t>Tallgrunnlag fra DBH viser at institusjonenes praksis for egenfinansiering varierer betydelig. Noen har valgt</w:t>
      </w:r>
      <w:r w:rsidR="00CE1577">
        <w:t xml:space="preserve"> enten</w:t>
      </w:r>
      <w:r w:rsidRPr="004E1492">
        <w:t xml:space="preserve"> 0 </w:t>
      </w:r>
      <w:r w:rsidR="00CE1577">
        <w:t>eller</w:t>
      </w:r>
      <w:r w:rsidRPr="004E1492">
        <w:t xml:space="preserve"> 100 % egenfinansiering, men andre benytter hele skalaen mellom 0 og 100 %. </w:t>
      </w:r>
    </w:p>
    <w:p w14:paraId="3994FB90" w14:textId="77777777" w:rsidR="001B32BD" w:rsidRDefault="001B32BD" w:rsidP="001B32BD">
      <w:r w:rsidRPr="004E1492">
        <w:t xml:space="preserve">Total studiepoengproduksjon i 2017 for universiteter, statlige vitenskapelige høyskoler og statlige høyskoler er på totalt 162 691 årsenheter. Fordelingen vises i tabell </w:t>
      </w:r>
      <w:r w:rsidR="00AE30EB">
        <w:t>1</w:t>
      </w:r>
      <w:r w:rsidRPr="004E1492">
        <w:t xml:space="preserve"> og figu</w:t>
      </w:r>
      <w:r w:rsidR="00AE30EB">
        <w:t>r 1</w:t>
      </w:r>
      <w:r w:rsidRPr="004E1492">
        <w:t>.</w:t>
      </w:r>
    </w:p>
    <w:tbl>
      <w:tblPr>
        <w:tblStyle w:val="Tabellrutenett"/>
        <w:tblW w:w="0" w:type="auto"/>
        <w:tblLook w:val="04A0" w:firstRow="1" w:lastRow="0" w:firstColumn="1" w:lastColumn="0" w:noHBand="0" w:noVBand="1"/>
      </w:tblPr>
      <w:tblGrid>
        <w:gridCol w:w="1696"/>
        <w:gridCol w:w="2835"/>
      </w:tblGrid>
      <w:tr w:rsidR="00756E56" w14:paraId="4ACF76DA" w14:textId="77777777" w:rsidTr="5663A662">
        <w:tc>
          <w:tcPr>
            <w:tcW w:w="1696" w:type="dxa"/>
          </w:tcPr>
          <w:p w14:paraId="2383997B" w14:textId="77777777" w:rsidR="00756E56" w:rsidRPr="00756E56" w:rsidRDefault="28257F58" w:rsidP="28257F58">
            <w:pPr>
              <w:jc w:val="right"/>
              <w:rPr>
                <w:rFonts w:ascii="Calibri,Arial," w:eastAsia="Calibri,Arial," w:hAnsi="Calibri,Arial," w:cs="Calibri,Arial,"/>
                <w:sz w:val="22"/>
                <w:szCs w:val="22"/>
              </w:rPr>
            </w:pPr>
            <w:r w:rsidRPr="28257F58">
              <w:rPr>
                <w:rFonts w:ascii="Calibri" w:eastAsia="Calibri" w:hAnsi="Calibri" w:cs="Calibri"/>
                <w:sz w:val="22"/>
                <w:szCs w:val="22"/>
              </w:rPr>
              <w:t xml:space="preserve">6 872 </w:t>
            </w:r>
          </w:p>
        </w:tc>
        <w:tc>
          <w:tcPr>
            <w:tcW w:w="2835" w:type="dxa"/>
          </w:tcPr>
          <w:p w14:paraId="0AA3D92E" w14:textId="77777777" w:rsidR="00756E56" w:rsidRPr="00756E56" w:rsidRDefault="00756E56" w:rsidP="00756E56">
            <w:pPr>
              <w:rPr>
                <w:rFonts w:ascii="Calibri" w:eastAsiaTheme="majorEastAsia" w:hAnsi="Calibri" w:cs="Arial"/>
                <w:sz w:val="22"/>
              </w:rPr>
            </w:pPr>
            <w:r w:rsidRPr="00756E56">
              <w:rPr>
                <w:rFonts w:ascii="Calibri" w:eastAsiaTheme="majorEastAsia" w:hAnsi="Calibri" w:cs="Arial"/>
                <w:sz w:val="22"/>
              </w:rPr>
              <w:t>0 % egenfinansiering</w:t>
            </w:r>
          </w:p>
        </w:tc>
      </w:tr>
      <w:tr w:rsidR="00756E56" w14:paraId="418C47B2" w14:textId="77777777" w:rsidTr="5663A662">
        <w:tc>
          <w:tcPr>
            <w:tcW w:w="1696" w:type="dxa"/>
          </w:tcPr>
          <w:p w14:paraId="140F6B6E" w14:textId="77777777" w:rsidR="00756E56" w:rsidRPr="00756E56" w:rsidRDefault="28257F58" w:rsidP="28257F58">
            <w:pPr>
              <w:jc w:val="right"/>
              <w:rPr>
                <w:rFonts w:ascii="Calibri,Arial," w:eastAsia="Calibri,Arial," w:hAnsi="Calibri,Arial," w:cs="Calibri,Arial,"/>
                <w:sz w:val="22"/>
                <w:szCs w:val="22"/>
              </w:rPr>
            </w:pPr>
            <w:r w:rsidRPr="28257F58">
              <w:rPr>
                <w:rFonts w:ascii="Calibri" w:eastAsia="Calibri" w:hAnsi="Calibri" w:cs="Calibri"/>
                <w:sz w:val="22"/>
                <w:szCs w:val="22"/>
              </w:rPr>
              <w:t xml:space="preserve">2 037 </w:t>
            </w:r>
          </w:p>
        </w:tc>
        <w:tc>
          <w:tcPr>
            <w:tcW w:w="2835" w:type="dxa"/>
          </w:tcPr>
          <w:p w14:paraId="2E991375" w14:textId="77777777" w:rsidR="00756E56" w:rsidRPr="00756E56" w:rsidRDefault="00756E56" w:rsidP="00756E56">
            <w:pPr>
              <w:rPr>
                <w:rFonts w:ascii="Calibri" w:eastAsiaTheme="majorEastAsia" w:hAnsi="Calibri" w:cs="Arial"/>
                <w:sz w:val="22"/>
              </w:rPr>
            </w:pPr>
            <w:r w:rsidRPr="00756E56">
              <w:rPr>
                <w:rFonts w:ascii="Calibri" w:eastAsiaTheme="majorEastAsia" w:hAnsi="Calibri" w:cs="Arial"/>
                <w:sz w:val="22"/>
              </w:rPr>
              <w:t xml:space="preserve">1-99 % egenfinansiering </w:t>
            </w:r>
          </w:p>
        </w:tc>
      </w:tr>
      <w:tr w:rsidR="00756E56" w14:paraId="023085DD" w14:textId="77777777" w:rsidTr="5663A662">
        <w:tc>
          <w:tcPr>
            <w:tcW w:w="1696" w:type="dxa"/>
          </w:tcPr>
          <w:p w14:paraId="3DA7497C" w14:textId="77777777" w:rsidR="00756E56" w:rsidRPr="00756E56" w:rsidRDefault="28257F58" w:rsidP="28257F58">
            <w:pPr>
              <w:jc w:val="right"/>
              <w:rPr>
                <w:rFonts w:ascii="Calibri,Arial," w:eastAsia="Calibri,Arial," w:hAnsi="Calibri,Arial," w:cs="Calibri,Arial,"/>
                <w:sz w:val="22"/>
                <w:szCs w:val="22"/>
              </w:rPr>
            </w:pPr>
            <w:r w:rsidRPr="28257F58">
              <w:rPr>
                <w:rFonts w:ascii="Calibri" w:eastAsia="Calibri" w:hAnsi="Calibri" w:cs="Calibri"/>
                <w:sz w:val="22"/>
                <w:szCs w:val="22"/>
              </w:rPr>
              <w:t xml:space="preserve">153 783 </w:t>
            </w:r>
          </w:p>
        </w:tc>
        <w:tc>
          <w:tcPr>
            <w:tcW w:w="2835" w:type="dxa"/>
          </w:tcPr>
          <w:p w14:paraId="55BB015F" w14:textId="77777777" w:rsidR="00756E56" w:rsidRPr="00756E56" w:rsidRDefault="00756E56" w:rsidP="00F56394">
            <w:pPr>
              <w:rPr>
                <w:rFonts w:ascii="Calibri" w:eastAsiaTheme="majorEastAsia" w:hAnsi="Calibri" w:cs="Arial"/>
                <w:sz w:val="22"/>
              </w:rPr>
            </w:pPr>
            <w:r w:rsidRPr="00756E56">
              <w:rPr>
                <w:rFonts w:ascii="Calibri" w:eastAsiaTheme="majorEastAsia" w:hAnsi="Calibri" w:cs="Arial"/>
                <w:sz w:val="22"/>
              </w:rPr>
              <w:t>100 % egenfinansiering</w:t>
            </w:r>
          </w:p>
        </w:tc>
      </w:tr>
      <w:tr w:rsidR="00756E56" w14:paraId="350D4572" w14:textId="77777777" w:rsidTr="5663A662">
        <w:tc>
          <w:tcPr>
            <w:tcW w:w="1696" w:type="dxa"/>
          </w:tcPr>
          <w:p w14:paraId="1A8C156D" w14:textId="77777777" w:rsidR="00756E56" w:rsidRPr="00756E56" w:rsidRDefault="28257F58" w:rsidP="28257F58">
            <w:pPr>
              <w:jc w:val="right"/>
              <w:rPr>
                <w:rFonts w:ascii="Calibri,Arial," w:eastAsia="Calibri,Arial," w:hAnsi="Calibri,Arial," w:cs="Calibri,Arial,"/>
                <w:b/>
                <w:bCs/>
                <w:sz w:val="22"/>
                <w:szCs w:val="22"/>
              </w:rPr>
            </w:pPr>
            <w:r w:rsidRPr="28257F58">
              <w:rPr>
                <w:rFonts w:ascii="Calibri" w:eastAsia="Calibri" w:hAnsi="Calibri" w:cs="Calibri"/>
                <w:b/>
                <w:bCs/>
                <w:sz w:val="22"/>
                <w:szCs w:val="22"/>
              </w:rPr>
              <w:t>162 691</w:t>
            </w:r>
          </w:p>
        </w:tc>
        <w:tc>
          <w:tcPr>
            <w:tcW w:w="2835" w:type="dxa"/>
          </w:tcPr>
          <w:p w14:paraId="0B1EBB8A" w14:textId="77777777" w:rsidR="00756E56" w:rsidRPr="00756E56" w:rsidRDefault="00756E56" w:rsidP="00756E56">
            <w:pPr>
              <w:rPr>
                <w:rFonts w:ascii="Calibri" w:eastAsiaTheme="majorEastAsia" w:hAnsi="Calibri" w:cs="Arial"/>
                <w:b/>
                <w:sz w:val="22"/>
              </w:rPr>
            </w:pPr>
            <w:r w:rsidRPr="00756E56">
              <w:rPr>
                <w:rFonts w:ascii="Calibri" w:eastAsiaTheme="majorEastAsia" w:hAnsi="Calibri" w:cs="Arial"/>
                <w:b/>
                <w:sz w:val="22"/>
              </w:rPr>
              <w:t>Sum årsenheter</w:t>
            </w:r>
          </w:p>
        </w:tc>
      </w:tr>
    </w:tbl>
    <w:p w14:paraId="592DF59D" w14:textId="77777777" w:rsidR="00FA5AA0" w:rsidRDefault="00FA5AA0" w:rsidP="00756E56">
      <w:pPr>
        <w:spacing w:after="160" w:afterAutospacing="0" w:line="259" w:lineRule="auto"/>
        <w:rPr>
          <w:rFonts w:ascii="Arial" w:eastAsiaTheme="majorEastAsia" w:hAnsi="Arial" w:cs="Arial"/>
          <w:sz w:val="20"/>
        </w:rPr>
      </w:pPr>
    </w:p>
    <w:p w14:paraId="533461A6" w14:textId="77777777" w:rsidR="00756E56" w:rsidRDefault="00AE30EB" w:rsidP="00756E56">
      <w:pPr>
        <w:spacing w:after="160" w:afterAutospacing="0" w:line="259" w:lineRule="auto"/>
        <w:rPr>
          <w:rFonts w:ascii="Arial" w:eastAsiaTheme="majorEastAsia" w:hAnsi="Arial" w:cs="Arial"/>
          <w:sz w:val="20"/>
        </w:rPr>
      </w:pPr>
      <w:r>
        <w:rPr>
          <w:rFonts w:ascii="Arial" w:eastAsiaTheme="majorEastAsia" w:hAnsi="Arial" w:cs="Arial"/>
          <w:sz w:val="20"/>
        </w:rPr>
        <w:t>Tabell 1</w:t>
      </w:r>
      <w:r w:rsidR="00756E56" w:rsidRPr="00756E56">
        <w:rPr>
          <w:rFonts w:ascii="Arial" w:eastAsiaTheme="majorEastAsia" w:hAnsi="Arial" w:cs="Arial"/>
          <w:sz w:val="20"/>
        </w:rPr>
        <w:t>: Total studiepoengproduksjon i antall årsenheter (DBH, 2017)</w:t>
      </w:r>
    </w:p>
    <w:p w14:paraId="1B930070" w14:textId="77777777" w:rsidR="00D9150A" w:rsidRPr="00756E56" w:rsidRDefault="00D9150A" w:rsidP="00756E56">
      <w:pPr>
        <w:spacing w:after="160" w:afterAutospacing="0" w:line="259" w:lineRule="auto"/>
        <w:rPr>
          <w:rFonts w:ascii="Arial" w:eastAsiaTheme="majorEastAsia" w:hAnsi="Arial" w:cs="Arial"/>
          <w:sz w:val="20"/>
        </w:rPr>
      </w:pPr>
    </w:p>
    <w:p w14:paraId="71848813" w14:textId="77777777" w:rsidR="00AB61C0" w:rsidRPr="00AB61C0" w:rsidRDefault="00AB61C0" w:rsidP="00AB61C0">
      <w:pPr>
        <w:spacing w:after="160" w:afterAutospacing="0" w:line="259" w:lineRule="auto"/>
        <w:rPr>
          <w:rFonts w:asciiTheme="minorHAnsi" w:eastAsiaTheme="minorHAnsi" w:hAnsiTheme="minorHAnsi" w:cstheme="minorBidi"/>
          <w:color w:val="00B0F0"/>
          <w:sz w:val="22"/>
          <w:szCs w:val="22"/>
          <w:lang w:eastAsia="en-US"/>
        </w:rPr>
      </w:pPr>
      <w:r w:rsidRPr="00AB61C0">
        <w:rPr>
          <w:rFonts w:asciiTheme="minorHAnsi" w:eastAsiaTheme="minorHAnsi" w:hAnsiTheme="minorHAnsi" w:cstheme="minorBidi"/>
          <w:noProof/>
          <w:color w:val="00B0F0"/>
          <w:sz w:val="22"/>
          <w:szCs w:val="22"/>
        </w:rPr>
        <w:drawing>
          <wp:inline distT="0" distB="0" distL="0" distR="0" wp14:anchorId="7B3AAD15" wp14:editId="5277C4AE">
            <wp:extent cx="4881289" cy="3297767"/>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2287" cy="3311953"/>
                    </a:xfrm>
                    <a:prstGeom prst="rect">
                      <a:avLst/>
                    </a:prstGeom>
                    <a:noFill/>
                    <a:ln>
                      <a:noFill/>
                    </a:ln>
                  </pic:spPr>
                </pic:pic>
              </a:graphicData>
            </a:graphic>
          </wp:inline>
        </w:drawing>
      </w:r>
    </w:p>
    <w:p w14:paraId="0465345F" w14:textId="77777777" w:rsidR="00756E56" w:rsidRDefault="00756E56" w:rsidP="00AB61C0">
      <w:pPr>
        <w:spacing w:after="160" w:afterAutospacing="0" w:line="259" w:lineRule="auto"/>
        <w:rPr>
          <w:rFonts w:ascii="Arial" w:eastAsiaTheme="majorEastAsia" w:hAnsi="Arial" w:cs="Arial"/>
          <w:sz w:val="20"/>
        </w:rPr>
      </w:pPr>
      <w:r w:rsidRPr="00756E56">
        <w:rPr>
          <w:rFonts w:ascii="Arial" w:eastAsiaTheme="majorEastAsia" w:hAnsi="Arial" w:cs="Arial"/>
          <w:sz w:val="20"/>
        </w:rPr>
        <w:t xml:space="preserve">Figur </w:t>
      </w:r>
      <w:r w:rsidR="00AE30EB">
        <w:rPr>
          <w:rFonts w:ascii="Arial" w:eastAsiaTheme="majorEastAsia" w:hAnsi="Arial" w:cs="Arial"/>
          <w:sz w:val="20"/>
        </w:rPr>
        <w:t>1</w:t>
      </w:r>
      <w:r w:rsidRPr="00756E56">
        <w:rPr>
          <w:rFonts w:ascii="Arial" w:eastAsiaTheme="majorEastAsia" w:hAnsi="Arial" w:cs="Arial"/>
          <w:sz w:val="20"/>
        </w:rPr>
        <w:t>: Total studiepoengproduksjon i antall årsenheter (DBH, 2017)</w:t>
      </w:r>
    </w:p>
    <w:p w14:paraId="3996D08B" w14:textId="77777777" w:rsidR="00D9150A" w:rsidRPr="00756E56" w:rsidRDefault="00D9150A" w:rsidP="00AB61C0">
      <w:pPr>
        <w:spacing w:after="160" w:afterAutospacing="0" w:line="259" w:lineRule="auto"/>
        <w:rPr>
          <w:rFonts w:ascii="Arial" w:eastAsiaTheme="majorEastAsia" w:hAnsi="Arial" w:cs="Arial"/>
          <w:sz w:val="20"/>
        </w:rPr>
      </w:pPr>
    </w:p>
    <w:p w14:paraId="69CB2887" w14:textId="1779D903" w:rsidR="001359AC" w:rsidRPr="001359AC" w:rsidRDefault="2702926F" w:rsidP="1268772F">
      <w:pPr>
        <w:rPr>
          <w:rFonts w:eastAsiaTheme="majorEastAsia"/>
        </w:rPr>
      </w:pPr>
      <w:r w:rsidRPr="1268772F">
        <w:rPr>
          <w:rFonts w:eastAsiaTheme="majorEastAsia"/>
        </w:rPr>
        <w:t xml:space="preserve">Av studiepoengproduksjonen som er helt eller delvis eksternfinansiert (8 909 årsenheter totalt), utgjør gruppen som er fullfinansiert av eksterne kilder 77,1%. </w:t>
      </w:r>
      <w:r w:rsidR="008237CA" w:rsidRPr="1268772F">
        <w:rPr>
          <w:rFonts w:eastAsiaTheme="majorEastAsia"/>
        </w:rPr>
        <w:t xml:space="preserve">Søk på institusjonenes nettsider </w:t>
      </w:r>
      <w:r w:rsidRPr="1268772F">
        <w:rPr>
          <w:rFonts w:eastAsiaTheme="majorEastAsia"/>
        </w:rPr>
        <w:t xml:space="preserve">viser at studieprogram som er oppgitt </w:t>
      </w:r>
      <w:r w:rsidR="008237CA" w:rsidRPr="1268772F">
        <w:rPr>
          <w:rFonts w:eastAsiaTheme="majorEastAsia"/>
        </w:rPr>
        <w:t xml:space="preserve">i DBH </w:t>
      </w:r>
      <w:r w:rsidRPr="1268772F">
        <w:rPr>
          <w:rFonts w:eastAsiaTheme="majorEastAsia"/>
        </w:rPr>
        <w:t>å være 100 % eksternfinansiert og som er innenfor samme finansieringskategori, kan ha ulike priser.</w:t>
      </w:r>
      <w:r w:rsidR="0068292B" w:rsidRPr="1268772F">
        <w:rPr>
          <w:rFonts w:eastAsiaTheme="majorEastAsia"/>
        </w:rPr>
        <w:t xml:space="preserve"> </w:t>
      </w:r>
      <w:r w:rsidRPr="1268772F">
        <w:rPr>
          <w:rFonts w:eastAsiaTheme="majorEastAsia"/>
        </w:rPr>
        <w:t>Innføring av en felles metodikk for å beregne kostnader (TDI</w:t>
      </w:r>
      <w:r w:rsidR="00813A99">
        <w:rPr>
          <w:rFonts w:eastAsiaTheme="majorEastAsia"/>
        </w:rPr>
        <w:t>-modell</w:t>
      </w:r>
      <w:r w:rsidRPr="1268772F">
        <w:rPr>
          <w:rFonts w:eastAsiaTheme="majorEastAsia"/>
        </w:rPr>
        <w:t xml:space="preserve"> for EVU), vil gi bedre dokumentasjon av faktiske direkte og indirekte kostnader. Dette er viktig for å dokumentere at kostnader for program </w:t>
      </w:r>
      <w:r w:rsidRPr="1268772F">
        <w:rPr>
          <w:rFonts w:eastAsiaTheme="majorEastAsia"/>
        </w:rPr>
        <w:lastRenderedPageBreak/>
        <w:t>som oppgis med 100 % ekstern finansiering</w:t>
      </w:r>
      <w:r w:rsidR="00A1670F" w:rsidRPr="1268772F">
        <w:rPr>
          <w:rFonts w:eastAsiaTheme="majorEastAsia"/>
        </w:rPr>
        <w:t xml:space="preserve"> (økonomisk aktivitet)</w:t>
      </w:r>
      <w:r w:rsidRPr="1268772F">
        <w:rPr>
          <w:rFonts w:eastAsiaTheme="majorEastAsia"/>
        </w:rPr>
        <w:t>, faktisk dekkes fullt ut av student/oppdragsgiver.</w:t>
      </w:r>
      <w:r w:rsidR="00A1670F" w:rsidRPr="1268772F">
        <w:rPr>
          <w:rFonts w:eastAsiaTheme="majorEastAsia"/>
        </w:rPr>
        <w:t xml:space="preserve"> </w:t>
      </w:r>
    </w:p>
    <w:p w14:paraId="31DEC08D" w14:textId="6ADC2A91" w:rsidR="00AB61C0" w:rsidRDefault="00D9150A" w:rsidP="00756E56">
      <w:pPr>
        <w:rPr>
          <w:rFonts w:eastAsiaTheme="majorEastAsia"/>
        </w:rPr>
      </w:pPr>
      <w:r>
        <w:rPr>
          <w:rFonts w:eastAsiaTheme="majorEastAsia"/>
        </w:rPr>
        <w:t xml:space="preserve">Figur </w:t>
      </w:r>
      <w:r w:rsidR="00AE30EB">
        <w:rPr>
          <w:rFonts w:eastAsiaTheme="majorEastAsia"/>
        </w:rPr>
        <w:t>2</w:t>
      </w:r>
      <w:r w:rsidR="00FA5AA0">
        <w:rPr>
          <w:rFonts w:eastAsiaTheme="majorEastAsia"/>
        </w:rPr>
        <w:t xml:space="preserve"> og tabell </w:t>
      </w:r>
      <w:r w:rsidR="00AE30EB">
        <w:rPr>
          <w:rFonts w:eastAsiaTheme="majorEastAsia"/>
        </w:rPr>
        <w:t xml:space="preserve">2 </w:t>
      </w:r>
      <w:r>
        <w:rPr>
          <w:rFonts w:eastAsiaTheme="majorEastAsia"/>
        </w:rPr>
        <w:t>viser fordelingen av egenfinansieringsprosent</w:t>
      </w:r>
      <w:r w:rsidR="001359AC">
        <w:rPr>
          <w:rFonts w:eastAsiaTheme="majorEastAsia"/>
        </w:rPr>
        <w:t xml:space="preserve"> fra1</w:t>
      </w:r>
      <w:r w:rsidR="00813A99">
        <w:rPr>
          <w:rFonts w:eastAsiaTheme="majorEastAsia"/>
        </w:rPr>
        <w:t xml:space="preserve"> %</w:t>
      </w:r>
      <w:r w:rsidR="001359AC">
        <w:rPr>
          <w:rFonts w:eastAsiaTheme="majorEastAsia"/>
        </w:rPr>
        <w:t xml:space="preserve"> til og med 99 %.</w:t>
      </w:r>
    </w:p>
    <w:p w14:paraId="498D9E37" w14:textId="7A6CD0D3" w:rsidR="005508AD" w:rsidRPr="00756E56" w:rsidRDefault="005508AD" w:rsidP="00D947CA">
      <w:pPr>
        <w:rPr>
          <w:rFonts w:eastAsiaTheme="majorEastAsia"/>
        </w:rPr>
      </w:pPr>
      <w:r>
        <w:rPr>
          <w:noProof/>
        </w:rPr>
        <w:drawing>
          <wp:inline distT="0" distB="0" distL="0" distR="0" wp14:anchorId="767BC195" wp14:editId="0F00ADC8">
            <wp:extent cx="5263764" cy="3649087"/>
            <wp:effectExtent l="0" t="0" r="0" b="8890"/>
            <wp:docPr id="19828022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5280386" cy="3660610"/>
                    </a:xfrm>
                    <a:prstGeom prst="rect">
                      <a:avLst/>
                    </a:prstGeom>
                  </pic:spPr>
                </pic:pic>
              </a:graphicData>
            </a:graphic>
          </wp:inline>
        </w:drawing>
      </w:r>
    </w:p>
    <w:p w14:paraId="58FB7846" w14:textId="77777777" w:rsidR="00D9150A" w:rsidRPr="00756E56" w:rsidRDefault="00D9150A" w:rsidP="00D9150A">
      <w:pPr>
        <w:spacing w:after="160" w:afterAutospacing="0" w:line="259" w:lineRule="auto"/>
        <w:rPr>
          <w:rFonts w:ascii="Arial" w:eastAsiaTheme="majorEastAsia" w:hAnsi="Arial" w:cs="Arial"/>
          <w:sz w:val="20"/>
        </w:rPr>
      </w:pPr>
      <w:r w:rsidRPr="00756E56">
        <w:rPr>
          <w:rFonts w:ascii="Arial" w:eastAsiaTheme="majorEastAsia" w:hAnsi="Arial" w:cs="Arial"/>
          <w:sz w:val="20"/>
        </w:rPr>
        <w:t xml:space="preserve">Figur </w:t>
      </w:r>
      <w:r w:rsidR="00AE30EB">
        <w:rPr>
          <w:rFonts w:ascii="Arial" w:eastAsiaTheme="majorEastAsia" w:hAnsi="Arial" w:cs="Arial"/>
          <w:sz w:val="20"/>
        </w:rPr>
        <w:t>2</w:t>
      </w:r>
      <w:r w:rsidRPr="00756E56">
        <w:rPr>
          <w:rFonts w:ascii="Arial" w:eastAsiaTheme="majorEastAsia" w:hAnsi="Arial" w:cs="Arial"/>
          <w:sz w:val="20"/>
        </w:rPr>
        <w:t xml:space="preserve">: </w:t>
      </w:r>
      <w:r>
        <w:rPr>
          <w:rFonts w:ascii="Arial" w:eastAsiaTheme="majorEastAsia" w:hAnsi="Arial" w:cs="Arial"/>
          <w:sz w:val="20"/>
        </w:rPr>
        <w:t xml:space="preserve">Helt eller delvis eksternfinansiert </w:t>
      </w:r>
      <w:r w:rsidRPr="00756E56">
        <w:rPr>
          <w:rFonts w:ascii="Arial" w:eastAsiaTheme="majorEastAsia" w:hAnsi="Arial" w:cs="Arial"/>
          <w:sz w:val="20"/>
        </w:rPr>
        <w:t>studiepoengproduksjon i antall årsenheter (DBH, 2017)</w:t>
      </w:r>
    </w:p>
    <w:p w14:paraId="4241FC88" w14:textId="77777777" w:rsidR="00AB61C0" w:rsidRPr="00AB61C0" w:rsidRDefault="00AB61C0" w:rsidP="00AB61C0">
      <w:pPr>
        <w:spacing w:after="160" w:afterAutospacing="0" w:line="259" w:lineRule="auto"/>
        <w:rPr>
          <w:rFonts w:asciiTheme="minorHAnsi" w:eastAsiaTheme="minorHAnsi" w:hAnsiTheme="minorHAnsi" w:cstheme="minorBidi"/>
          <w:color w:val="00B0F0"/>
          <w:sz w:val="22"/>
          <w:szCs w:val="22"/>
          <w:lang w:eastAsia="en-US"/>
        </w:rPr>
      </w:pPr>
    </w:p>
    <w:p w14:paraId="7881C4D8" w14:textId="72256F13" w:rsidR="00AB61C0" w:rsidRDefault="00AB61C0" w:rsidP="00AB61C0">
      <w:pPr>
        <w:spacing w:after="160" w:afterAutospacing="0" w:line="259" w:lineRule="auto"/>
        <w:rPr>
          <w:rFonts w:eastAsiaTheme="majorEastAsia"/>
        </w:rPr>
      </w:pPr>
      <w:r w:rsidRPr="00D47572">
        <w:rPr>
          <w:rFonts w:eastAsiaTheme="majorEastAsia"/>
        </w:rPr>
        <w:t>Det er stor variasjon i egenfinansieringsprosent på studieprogrammene som er delfinansiert av eksterne kilder. Hovedtyngden finner vi på studieprogram i finansieringskategoriene D, E og F</w:t>
      </w:r>
      <w:r w:rsidR="002D5098">
        <w:rPr>
          <w:rFonts w:eastAsiaTheme="majorEastAsia"/>
        </w:rPr>
        <w:t xml:space="preserve"> (se tabell 3)</w:t>
      </w:r>
      <w:r w:rsidRPr="00D47572">
        <w:rPr>
          <w:rFonts w:eastAsiaTheme="majorEastAsia"/>
        </w:rPr>
        <w:t>. I disse tallene ligger også erfaringsbaserte mastere som ikke er fu</w:t>
      </w:r>
      <w:r w:rsidR="00D47572">
        <w:rPr>
          <w:rFonts w:eastAsiaTheme="majorEastAsia"/>
        </w:rPr>
        <w:t>llfinansiert av eksterne kilder.</w:t>
      </w:r>
    </w:p>
    <w:p w14:paraId="2123176D" w14:textId="08FC37EA" w:rsidR="009A0E8B" w:rsidRDefault="009A0E8B" w:rsidP="00AB61C0">
      <w:pPr>
        <w:spacing w:after="160" w:afterAutospacing="0" w:line="259" w:lineRule="auto"/>
        <w:rPr>
          <w:rFonts w:eastAsiaTheme="majorEastAsia"/>
        </w:rPr>
      </w:pPr>
      <w:r w:rsidRPr="009A0E8B">
        <w:rPr>
          <w:rFonts w:eastAsiaTheme="majorEastAsia"/>
          <w:noProof/>
        </w:rPr>
        <w:drawing>
          <wp:inline distT="0" distB="0" distL="0" distR="0" wp14:anchorId="64D57E62" wp14:editId="1ED5BE8F">
            <wp:extent cx="5732780" cy="1847215"/>
            <wp:effectExtent l="0" t="0" r="1270" b="635"/>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1847215"/>
                    </a:xfrm>
                    <a:prstGeom prst="rect">
                      <a:avLst/>
                    </a:prstGeom>
                    <a:noFill/>
                    <a:ln>
                      <a:noFill/>
                    </a:ln>
                  </pic:spPr>
                </pic:pic>
              </a:graphicData>
            </a:graphic>
          </wp:inline>
        </w:drawing>
      </w:r>
    </w:p>
    <w:p w14:paraId="5E0743FC" w14:textId="607CCAAC" w:rsidR="00D47572" w:rsidRPr="00F57242" w:rsidRDefault="28257F58" w:rsidP="00F57242">
      <w:pPr>
        <w:spacing w:after="160" w:afterAutospacing="0" w:line="259" w:lineRule="auto"/>
        <w:rPr>
          <w:rFonts w:asciiTheme="minorHAnsi" w:eastAsiaTheme="minorEastAsia" w:hAnsiTheme="minorHAnsi" w:cstheme="minorBidi"/>
          <w:sz w:val="22"/>
          <w:szCs w:val="22"/>
          <w:lang w:eastAsia="en-US"/>
        </w:rPr>
      </w:pPr>
      <w:r w:rsidRPr="46D54BE2">
        <w:rPr>
          <w:rFonts w:asciiTheme="minorHAnsi" w:eastAsiaTheme="minorEastAsia" w:hAnsiTheme="minorHAnsi" w:cstheme="minorBidi"/>
          <w:sz w:val="22"/>
          <w:szCs w:val="22"/>
          <w:lang w:eastAsia="en-US"/>
        </w:rPr>
        <w:t>Tabell 2: Produserte årsenheter med 1-99 % egenfinansiering fra institusjonen fordelt på egenfinansiering og KDs finansieringskategorier (DBH, 2017).</w:t>
      </w:r>
    </w:p>
    <w:p w14:paraId="31443A1B" w14:textId="6A885609" w:rsidR="00AB61C0" w:rsidRDefault="00AB61C0" w:rsidP="00AB61C0">
      <w:pPr>
        <w:spacing w:after="160" w:afterAutospacing="0" w:line="259" w:lineRule="auto"/>
        <w:rPr>
          <w:rFonts w:eastAsiaTheme="majorEastAsia"/>
        </w:rPr>
      </w:pPr>
      <w:r w:rsidRPr="00D47572">
        <w:rPr>
          <w:rFonts w:eastAsiaTheme="majorEastAsia"/>
        </w:rPr>
        <w:lastRenderedPageBreak/>
        <w:t>Ser vi på de ulike institusjonene ser vi at noen institusjoner har stor studiepoengproduksjon på delfinansierte studieprogram, mens andre har svært få</w:t>
      </w:r>
      <w:r w:rsidR="002D5098">
        <w:rPr>
          <w:rFonts w:eastAsiaTheme="majorEastAsia"/>
        </w:rPr>
        <w:t xml:space="preserve"> (</w:t>
      </w:r>
      <w:r w:rsidR="00B36948">
        <w:rPr>
          <w:rFonts w:eastAsiaTheme="majorEastAsia"/>
        </w:rPr>
        <w:t xml:space="preserve">jf. </w:t>
      </w:r>
      <w:r w:rsidR="002D5098">
        <w:rPr>
          <w:rFonts w:eastAsiaTheme="majorEastAsia"/>
        </w:rPr>
        <w:t xml:space="preserve">tabell </w:t>
      </w:r>
      <w:r w:rsidR="00AE30EB">
        <w:rPr>
          <w:rFonts w:eastAsiaTheme="majorEastAsia"/>
        </w:rPr>
        <w:t>3</w:t>
      </w:r>
      <w:r w:rsidR="002D5098">
        <w:rPr>
          <w:rFonts w:eastAsiaTheme="majorEastAsia"/>
        </w:rPr>
        <w:t>)</w:t>
      </w:r>
      <w:r w:rsidRPr="00D47572">
        <w:rPr>
          <w:rFonts w:eastAsiaTheme="majorEastAsia"/>
        </w:rPr>
        <w:t xml:space="preserve">. Det er også stor variasjon i hvor høy egenfinansieringsprosent de ulike institusjonene har. Gjennomsnittet for 2017 </w:t>
      </w:r>
      <w:r w:rsidR="00D47572">
        <w:rPr>
          <w:rFonts w:eastAsiaTheme="majorEastAsia"/>
        </w:rPr>
        <w:t xml:space="preserve">i sektoren </w:t>
      </w:r>
      <w:r w:rsidRPr="00D47572">
        <w:rPr>
          <w:rFonts w:eastAsiaTheme="majorEastAsia"/>
        </w:rPr>
        <w:t>er på 60</w:t>
      </w:r>
      <w:r w:rsidR="00E51640">
        <w:rPr>
          <w:rFonts w:eastAsiaTheme="majorEastAsia"/>
        </w:rPr>
        <w:t xml:space="preserve"> </w:t>
      </w:r>
      <w:r w:rsidRPr="00D47572">
        <w:rPr>
          <w:rFonts w:eastAsiaTheme="majorEastAsia"/>
        </w:rPr>
        <w:t>% egenfinansiering.</w:t>
      </w:r>
      <w:r w:rsidR="00D47572">
        <w:rPr>
          <w:rFonts w:eastAsiaTheme="majorEastAsia"/>
        </w:rPr>
        <w:t xml:space="preserve"> Merk at flere institusjoner i sektoren ikke har noen delfinansierte programmer. NMBU og UiO har som uttalt politikk at </w:t>
      </w:r>
      <w:r w:rsidR="00D95559">
        <w:rPr>
          <w:rFonts w:eastAsiaTheme="majorEastAsia"/>
        </w:rPr>
        <w:t xml:space="preserve">alle </w:t>
      </w:r>
      <w:r w:rsidR="00D47572">
        <w:rPr>
          <w:rFonts w:eastAsiaTheme="majorEastAsia"/>
        </w:rPr>
        <w:t>studieprogrammer skal ha 0 eller 100 % egenfinansiering. NTNU, Høgskolen i Volda, OsloMet (tidligere Høgskolen i Oslo og Akershus) har høyest produksjon med delfinansierte programmer.</w:t>
      </w:r>
      <w:r w:rsidR="00235780">
        <w:rPr>
          <w:rFonts w:eastAsiaTheme="majorEastAsia"/>
        </w:rPr>
        <w:t xml:space="preserve"> </w:t>
      </w:r>
    </w:p>
    <w:p w14:paraId="44C75731" w14:textId="77777777" w:rsidR="00AB61C0" w:rsidRPr="00AB61C0" w:rsidRDefault="00AB61C0" w:rsidP="00AB61C0">
      <w:pPr>
        <w:spacing w:after="160" w:afterAutospacing="0" w:line="259" w:lineRule="auto"/>
        <w:rPr>
          <w:rFonts w:asciiTheme="minorHAnsi" w:eastAsiaTheme="minorHAnsi" w:hAnsiTheme="minorHAnsi" w:cstheme="minorBidi"/>
          <w:color w:val="00B0F0"/>
          <w:sz w:val="22"/>
          <w:szCs w:val="22"/>
          <w:lang w:eastAsia="en-US"/>
        </w:rPr>
      </w:pPr>
      <w:r w:rsidRPr="00AB61C0">
        <w:rPr>
          <w:rFonts w:asciiTheme="minorHAnsi" w:eastAsiaTheme="minorHAnsi" w:hAnsiTheme="minorHAnsi" w:cstheme="minorBidi"/>
          <w:noProof/>
          <w:color w:val="00B0F0"/>
          <w:sz w:val="22"/>
          <w:szCs w:val="22"/>
        </w:rPr>
        <w:drawing>
          <wp:inline distT="0" distB="0" distL="0" distR="0" wp14:anchorId="29666EFA" wp14:editId="6C7B1EDB">
            <wp:extent cx="5747597" cy="2955938"/>
            <wp:effectExtent l="0" t="0" r="5715"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6509" cy="2970807"/>
                    </a:xfrm>
                    <a:prstGeom prst="rect">
                      <a:avLst/>
                    </a:prstGeom>
                    <a:noFill/>
                    <a:ln>
                      <a:noFill/>
                    </a:ln>
                  </pic:spPr>
                </pic:pic>
              </a:graphicData>
            </a:graphic>
          </wp:inline>
        </w:drawing>
      </w:r>
    </w:p>
    <w:p w14:paraId="2E68DED9" w14:textId="77777777" w:rsidR="00235780" w:rsidRDefault="00235780" w:rsidP="00235780">
      <w:pPr>
        <w:spacing w:after="160" w:afterAutospacing="0" w:line="259" w:lineRule="auto"/>
        <w:rPr>
          <w:rFonts w:asciiTheme="minorHAnsi" w:eastAsiaTheme="minorHAnsi" w:hAnsiTheme="minorHAnsi" w:cstheme="minorBidi"/>
          <w:sz w:val="22"/>
          <w:szCs w:val="22"/>
          <w:lang w:eastAsia="en-US"/>
        </w:rPr>
      </w:pPr>
      <w:r w:rsidRPr="00D47572">
        <w:rPr>
          <w:rFonts w:asciiTheme="minorHAnsi" w:eastAsiaTheme="minorHAnsi" w:hAnsiTheme="minorHAnsi" w:cstheme="minorBidi"/>
          <w:sz w:val="22"/>
          <w:szCs w:val="22"/>
          <w:lang w:eastAsia="en-US"/>
        </w:rPr>
        <w:t xml:space="preserve">Tabell </w:t>
      </w:r>
      <w:r w:rsidR="00AE30EB">
        <w:rPr>
          <w:rFonts w:asciiTheme="minorHAnsi" w:eastAsiaTheme="minorHAnsi" w:hAnsiTheme="minorHAnsi" w:cstheme="minorBidi"/>
          <w:sz w:val="22"/>
          <w:szCs w:val="22"/>
          <w:lang w:eastAsia="en-US"/>
        </w:rPr>
        <w:t>3</w:t>
      </w:r>
      <w:r w:rsidRPr="00D4757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Produserte å</w:t>
      </w:r>
      <w:r w:rsidRPr="00D47572">
        <w:rPr>
          <w:rFonts w:asciiTheme="minorHAnsi" w:eastAsiaTheme="minorHAnsi" w:hAnsiTheme="minorHAnsi" w:cstheme="minorBidi"/>
          <w:sz w:val="22"/>
          <w:szCs w:val="22"/>
          <w:lang w:eastAsia="en-US"/>
        </w:rPr>
        <w:t>rsenheter med 1-99 % egenfinansiering</w:t>
      </w:r>
      <w:r>
        <w:rPr>
          <w:rFonts w:asciiTheme="minorHAnsi" w:eastAsiaTheme="minorHAnsi" w:hAnsiTheme="minorHAnsi" w:cstheme="minorBidi"/>
          <w:sz w:val="22"/>
          <w:szCs w:val="22"/>
          <w:lang w:eastAsia="en-US"/>
        </w:rPr>
        <w:t>, og gjennomsnittlig egenfinansieringsprosent,</w:t>
      </w:r>
      <w:r w:rsidRPr="00D47572">
        <w:rPr>
          <w:rFonts w:asciiTheme="minorHAnsi" w:eastAsiaTheme="minorHAnsi" w:hAnsiTheme="minorHAnsi" w:cstheme="minorBidi"/>
          <w:sz w:val="22"/>
          <w:szCs w:val="22"/>
          <w:lang w:eastAsia="en-US"/>
        </w:rPr>
        <w:t xml:space="preserve"> fordelt på</w:t>
      </w:r>
      <w:r>
        <w:rPr>
          <w:rFonts w:asciiTheme="minorHAnsi" w:eastAsiaTheme="minorHAnsi" w:hAnsiTheme="minorHAnsi" w:cstheme="minorBidi"/>
          <w:sz w:val="22"/>
          <w:szCs w:val="22"/>
          <w:lang w:eastAsia="en-US"/>
        </w:rPr>
        <w:t xml:space="preserve"> institusjoner (DBH, 2017).</w:t>
      </w:r>
    </w:p>
    <w:p w14:paraId="083A01D4" w14:textId="1016AD4E" w:rsidR="00E51640" w:rsidRDefault="2702926F" w:rsidP="00E51640">
      <w:r w:rsidRPr="00813A99">
        <w:rPr>
          <w:i/>
        </w:rPr>
        <w:t xml:space="preserve">Kurs </w:t>
      </w:r>
      <w:r w:rsidRPr="2702926F">
        <w:t>(etterutdanning uten studiepoeng) registreres ikke i DBH. Arbeidsgruppen har ikke gått inn i institusjonenes regnskapsrapporter for å sjekke omfanget i sektoren, men erfaringene fra de institusjoner som er representert i arbeidsgruppen, tilsier at omfanget er lite sammenlignet med videreutdanning.</w:t>
      </w:r>
    </w:p>
    <w:p w14:paraId="3464D112" w14:textId="77777777" w:rsidR="00E51640" w:rsidRDefault="00E51640" w:rsidP="00E51640">
      <w:pPr>
        <w:pStyle w:val="Overskrift3"/>
        <w:numPr>
          <w:ilvl w:val="1"/>
          <w:numId w:val="23"/>
        </w:numPr>
      </w:pPr>
      <w:bookmarkStart w:id="19" w:name="_Toc516731428"/>
      <w:r>
        <w:t>Fastsettelse av studieavgift for EVU</w:t>
      </w:r>
      <w:bookmarkEnd w:id="19"/>
    </w:p>
    <w:p w14:paraId="1AB57C14" w14:textId="77777777" w:rsidR="00DF2D5E" w:rsidRDefault="00FA5AA0" w:rsidP="00E51640">
      <w:pPr>
        <w:rPr>
          <w:rFonts w:eastAsiaTheme="majorEastAsia"/>
        </w:rPr>
      </w:pPr>
      <w:r>
        <w:rPr>
          <w:rFonts w:eastAsiaTheme="majorEastAsia"/>
        </w:rPr>
        <w:t>Som tallgrunnlaget over viser, er p</w:t>
      </w:r>
      <w:r w:rsidR="00E51640">
        <w:rPr>
          <w:rFonts w:eastAsiaTheme="majorEastAsia"/>
        </w:rPr>
        <w:t>raksis for egenfinansiering</w:t>
      </w:r>
      <w:r w:rsidR="00CC5543">
        <w:rPr>
          <w:rFonts w:eastAsiaTheme="majorEastAsia"/>
        </w:rPr>
        <w:t xml:space="preserve"> varierende i sektoren</w:t>
      </w:r>
      <w:r w:rsidR="00E51640">
        <w:rPr>
          <w:rFonts w:eastAsiaTheme="majorEastAsia"/>
        </w:rPr>
        <w:t xml:space="preserve">. </w:t>
      </w:r>
      <w:r w:rsidR="00DF2D5E" w:rsidRPr="00DF2D5E">
        <w:rPr>
          <w:rFonts w:eastAsiaTheme="majorEastAsia"/>
        </w:rPr>
        <w:t xml:space="preserve">Mange UH-institusjoner har vært gjennom fusjoner og har arbeidet med samordning av studietilbud som tidligere har vært tilbudt med ulik finansiering. </w:t>
      </w:r>
      <w:r w:rsidR="00CC5543">
        <w:rPr>
          <w:rFonts w:eastAsiaTheme="majorEastAsia"/>
        </w:rPr>
        <w:t>S</w:t>
      </w:r>
      <w:r w:rsidR="00E51640">
        <w:rPr>
          <w:rFonts w:eastAsiaTheme="majorEastAsia"/>
        </w:rPr>
        <w:t>tudie</w:t>
      </w:r>
      <w:r w:rsidR="00C2268F">
        <w:rPr>
          <w:rFonts w:eastAsiaTheme="majorEastAsia"/>
        </w:rPr>
        <w:t>avgiften for tilnærmet like EVU-</w:t>
      </w:r>
      <w:r w:rsidR="00E51640">
        <w:rPr>
          <w:rFonts w:eastAsiaTheme="majorEastAsia"/>
        </w:rPr>
        <w:t>tilbud</w:t>
      </w:r>
      <w:r w:rsidR="00CC5543">
        <w:rPr>
          <w:rFonts w:eastAsiaTheme="majorEastAsia"/>
        </w:rPr>
        <w:t xml:space="preserve"> </w:t>
      </w:r>
      <w:r w:rsidR="00E51640">
        <w:rPr>
          <w:rFonts w:eastAsiaTheme="majorEastAsia"/>
        </w:rPr>
        <w:t xml:space="preserve">varierer </w:t>
      </w:r>
      <w:r w:rsidR="00DF2D5E">
        <w:rPr>
          <w:rFonts w:eastAsiaTheme="majorEastAsia"/>
        </w:rPr>
        <w:t>mellom institusjonene og</w:t>
      </w:r>
      <w:r w:rsidR="00CC5543">
        <w:rPr>
          <w:rFonts w:eastAsiaTheme="majorEastAsia"/>
        </w:rPr>
        <w:t xml:space="preserve"> i en del tilfeller</w:t>
      </w:r>
      <w:r w:rsidR="00DF2D5E">
        <w:rPr>
          <w:rFonts w:eastAsiaTheme="majorEastAsia"/>
        </w:rPr>
        <w:t xml:space="preserve"> </w:t>
      </w:r>
      <w:r w:rsidR="00CC5543">
        <w:rPr>
          <w:rFonts w:eastAsiaTheme="majorEastAsia"/>
        </w:rPr>
        <w:t xml:space="preserve">også </w:t>
      </w:r>
      <w:r w:rsidR="00DF2D5E">
        <w:rPr>
          <w:rFonts w:eastAsiaTheme="majorEastAsia"/>
        </w:rPr>
        <w:t>innenfor</w:t>
      </w:r>
      <w:r w:rsidR="003C2330">
        <w:rPr>
          <w:rFonts w:eastAsiaTheme="majorEastAsia"/>
        </w:rPr>
        <w:t xml:space="preserve"> </w:t>
      </w:r>
      <w:r w:rsidR="00DF2D5E">
        <w:rPr>
          <w:rFonts w:eastAsiaTheme="majorEastAsia"/>
        </w:rPr>
        <w:t>institusjonene</w:t>
      </w:r>
      <w:r w:rsidR="00E51640">
        <w:rPr>
          <w:rFonts w:eastAsiaTheme="majorEastAsia"/>
        </w:rPr>
        <w:t xml:space="preserve">. </w:t>
      </w:r>
    </w:p>
    <w:p w14:paraId="41AD9F6A" w14:textId="49019A2D" w:rsidR="00A16B15" w:rsidRDefault="00465582" w:rsidP="00A16B15">
      <w:pPr>
        <w:rPr>
          <w:rFonts w:eastAsiaTheme="majorEastAsia"/>
        </w:rPr>
      </w:pPr>
      <w:r>
        <w:rPr>
          <w:rFonts w:eastAsiaTheme="majorEastAsia"/>
        </w:rPr>
        <w:t>A</w:t>
      </w:r>
      <w:r w:rsidR="00A16B15" w:rsidRPr="1268772F">
        <w:rPr>
          <w:rFonts w:eastAsiaTheme="majorEastAsia"/>
        </w:rPr>
        <w:t xml:space="preserve">rbeidsgruppen har ikke grunnlag for å si noe om hvilke momenter som veier tyngst ved fastsettelse av studieavgift. I noen tilfeller vil institusjonens politikk være begrensende (0 eller 100 %). Andre analyserer markedet for et gitt område og setter studieavgiften slik at kostnadsdekningen blir best mulig ved opprettelsen.  </w:t>
      </w:r>
    </w:p>
    <w:p w14:paraId="3F65CB41" w14:textId="0F71DE96" w:rsidR="00E51640" w:rsidRDefault="000A0769" w:rsidP="00E51640">
      <w:pPr>
        <w:rPr>
          <w:rFonts w:eastAsiaTheme="majorEastAsia"/>
        </w:rPr>
      </w:pPr>
      <w:r>
        <w:rPr>
          <w:rFonts w:eastAsiaTheme="majorEastAsia"/>
        </w:rPr>
        <w:t>Noen m</w:t>
      </w:r>
      <w:r w:rsidR="009C38D5">
        <w:rPr>
          <w:rFonts w:eastAsiaTheme="majorEastAsia"/>
        </w:rPr>
        <w:t>omenter som påvirker størrelsen på studieavgift</w:t>
      </w:r>
      <w:r>
        <w:rPr>
          <w:rFonts w:eastAsiaTheme="majorEastAsia"/>
        </w:rPr>
        <w:t xml:space="preserve">en </w:t>
      </w:r>
      <w:r w:rsidR="00465582">
        <w:rPr>
          <w:rFonts w:eastAsiaTheme="majorEastAsia"/>
        </w:rPr>
        <w:t>kan være:</w:t>
      </w:r>
    </w:p>
    <w:p w14:paraId="3F335B19" w14:textId="18B497BE" w:rsidR="00E51640" w:rsidRDefault="009C38D5" w:rsidP="00E51640">
      <w:pPr>
        <w:pStyle w:val="Listeavsnitt"/>
        <w:numPr>
          <w:ilvl w:val="0"/>
          <w:numId w:val="41"/>
        </w:numPr>
        <w:rPr>
          <w:rFonts w:eastAsiaTheme="majorEastAsia"/>
        </w:rPr>
      </w:pPr>
      <w:r>
        <w:rPr>
          <w:rFonts w:eastAsiaTheme="majorEastAsia"/>
        </w:rPr>
        <w:t>U</w:t>
      </w:r>
      <w:r w:rsidR="00E51640" w:rsidRPr="00E51640">
        <w:rPr>
          <w:rFonts w:eastAsiaTheme="majorEastAsia"/>
        </w:rPr>
        <w:t>lik tolkning av regelv</w:t>
      </w:r>
      <w:r w:rsidR="00E51640">
        <w:rPr>
          <w:rFonts w:eastAsiaTheme="majorEastAsia"/>
        </w:rPr>
        <w:t>erket for egenfinansiering</w:t>
      </w:r>
      <w:r w:rsidR="00813A99">
        <w:rPr>
          <w:rFonts w:eastAsiaTheme="majorEastAsia"/>
        </w:rPr>
        <w:t>.</w:t>
      </w:r>
    </w:p>
    <w:p w14:paraId="303AA9CC" w14:textId="3C904D3B" w:rsidR="005118B2" w:rsidRPr="005118B2" w:rsidRDefault="00343991" w:rsidP="00F7317A">
      <w:pPr>
        <w:pStyle w:val="Listeavsnitt"/>
        <w:numPr>
          <w:ilvl w:val="0"/>
          <w:numId w:val="42"/>
        </w:numPr>
      </w:pPr>
      <w:r w:rsidRPr="005118B2">
        <w:rPr>
          <w:rFonts w:eastAsiaTheme="majorEastAsia"/>
        </w:rPr>
        <w:lastRenderedPageBreak/>
        <w:t xml:space="preserve">Gruppestørrelse (antall studenter) påvirker kostnaden per student. </w:t>
      </w:r>
      <w:r w:rsidR="0079275D">
        <w:rPr>
          <w:rFonts w:eastAsiaTheme="majorEastAsia"/>
        </w:rPr>
        <w:t>Størrelsen på egenfinansieringen vurderes</w:t>
      </w:r>
      <w:r w:rsidRPr="005118B2">
        <w:rPr>
          <w:rFonts w:eastAsiaTheme="majorEastAsia"/>
        </w:rPr>
        <w:t xml:space="preserve"> ofte slik at den optimerer antall studenter og totale inntekter.</w:t>
      </w:r>
      <w:r w:rsidRPr="00343991">
        <w:rPr>
          <w:rFonts w:eastAsiaTheme="majorEastAsia"/>
        </w:rPr>
        <w:t xml:space="preserve"> </w:t>
      </w:r>
    </w:p>
    <w:p w14:paraId="5590B72C" w14:textId="05636E01" w:rsidR="00E42D95" w:rsidRPr="005118B2" w:rsidRDefault="009C38D5" w:rsidP="00F05A93">
      <w:pPr>
        <w:pStyle w:val="Listeavsnitt"/>
        <w:numPr>
          <w:ilvl w:val="0"/>
          <w:numId w:val="42"/>
        </w:numPr>
      </w:pPr>
      <w:r w:rsidRPr="005118B2">
        <w:t xml:space="preserve">Ulike rammebetingelser for EVU </w:t>
      </w:r>
      <w:r w:rsidR="000A0769" w:rsidRPr="005118B2">
        <w:t>ved</w:t>
      </w:r>
      <w:r w:rsidRPr="005118B2">
        <w:t xml:space="preserve"> institusjonene. </w:t>
      </w:r>
      <w:r w:rsidR="00E42D95" w:rsidRPr="005118B2">
        <w:t xml:space="preserve">Ledig kapasitet, etterspørsel i markedet og ønske om vekst har ført til opprettelse av studietilbud knyttet til etter- og videreutdanning. For noen institusjoner har praksis vært at det ikke har vært tatt studieavgift for disse EVU-tilbudene. </w:t>
      </w:r>
    </w:p>
    <w:p w14:paraId="647AB847" w14:textId="77777777" w:rsidR="009C38D5" w:rsidRDefault="009C38D5" w:rsidP="009C38D5">
      <w:pPr>
        <w:pStyle w:val="Listeavsnitt"/>
        <w:numPr>
          <w:ilvl w:val="0"/>
          <w:numId w:val="41"/>
        </w:numPr>
        <w:rPr>
          <w:rFonts w:eastAsiaTheme="majorEastAsia"/>
        </w:rPr>
      </w:pPr>
      <w:r>
        <w:t>U</w:t>
      </w:r>
      <w:r w:rsidRPr="009C38D5">
        <w:rPr>
          <w:rFonts w:eastAsiaTheme="majorEastAsia"/>
        </w:rPr>
        <w:t xml:space="preserve">like fordelingsmodeller for finansiering av EVU internt ved institusjonene </w:t>
      </w:r>
      <w:r>
        <w:rPr>
          <w:rFonts w:eastAsiaTheme="majorEastAsia"/>
        </w:rPr>
        <w:t xml:space="preserve">påvirker </w:t>
      </w:r>
      <w:r w:rsidRPr="009C38D5">
        <w:rPr>
          <w:rFonts w:eastAsiaTheme="majorEastAsia"/>
        </w:rPr>
        <w:t>handlingsrom</w:t>
      </w:r>
      <w:r>
        <w:rPr>
          <w:rFonts w:eastAsiaTheme="majorEastAsia"/>
        </w:rPr>
        <w:t>met</w:t>
      </w:r>
      <w:r w:rsidR="000A0769">
        <w:rPr>
          <w:rFonts w:eastAsiaTheme="majorEastAsia"/>
        </w:rPr>
        <w:t xml:space="preserve"> fagmiljøene har</w:t>
      </w:r>
      <w:r>
        <w:rPr>
          <w:rFonts w:eastAsiaTheme="majorEastAsia"/>
        </w:rPr>
        <w:t xml:space="preserve"> til å finansiere EVU</w:t>
      </w:r>
      <w:r w:rsidRPr="009C38D5">
        <w:rPr>
          <w:rFonts w:eastAsiaTheme="majorEastAsia"/>
        </w:rPr>
        <w:t xml:space="preserve"> innenfor rammebev</w:t>
      </w:r>
      <w:r>
        <w:rPr>
          <w:rFonts w:eastAsiaTheme="majorEastAsia"/>
        </w:rPr>
        <w:t>ilgningen.</w:t>
      </w:r>
    </w:p>
    <w:p w14:paraId="5C9FF227" w14:textId="2C031793" w:rsidR="000A0769" w:rsidRPr="00465582" w:rsidRDefault="00C2268F" w:rsidP="00F05A93">
      <w:pPr>
        <w:pStyle w:val="Listeavsnitt"/>
        <w:numPr>
          <w:ilvl w:val="0"/>
          <w:numId w:val="41"/>
        </w:numPr>
        <w:rPr>
          <w:rFonts w:eastAsiaTheme="majorEastAsia"/>
        </w:rPr>
      </w:pPr>
      <w:r w:rsidRPr="00465582">
        <w:rPr>
          <w:rFonts w:eastAsiaTheme="majorEastAsia"/>
        </w:rPr>
        <w:t>Ulike kundegrupper</w:t>
      </w:r>
      <w:r w:rsidR="00CC5543" w:rsidRPr="00465582">
        <w:rPr>
          <w:rFonts w:eastAsiaTheme="majorEastAsia"/>
        </w:rPr>
        <w:t>.</w:t>
      </w:r>
      <w:r w:rsidRPr="00465582">
        <w:rPr>
          <w:rFonts w:eastAsiaTheme="majorEastAsia"/>
        </w:rPr>
        <w:t xml:space="preserve"> Noen studenter dekker studieavgiften selv, mens andre får dekket studieavgift av arbeidsgiver. </w:t>
      </w:r>
      <w:r w:rsidR="000A0769" w:rsidRPr="00465582">
        <w:rPr>
          <w:rFonts w:eastAsiaTheme="majorEastAsia"/>
        </w:rPr>
        <w:t xml:space="preserve">EVU som dekkes av studenten selv, er </w:t>
      </w:r>
      <w:r w:rsidRPr="00465582">
        <w:rPr>
          <w:rFonts w:eastAsiaTheme="majorEastAsia"/>
        </w:rPr>
        <w:t>tilsynelatende</w:t>
      </w:r>
      <w:r w:rsidR="000A0769" w:rsidRPr="00465582">
        <w:rPr>
          <w:rFonts w:eastAsiaTheme="majorEastAsia"/>
        </w:rPr>
        <w:t xml:space="preserve"> mer prissensitiv enn EVU som dekkes av arbeidsgiver.</w:t>
      </w:r>
      <w:r w:rsidR="00465582">
        <w:rPr>
          <w:rFonts w:eastAsiaTheme="majorEastAsia"/>
        </w:rPr>
        <w:t xml:space="preserve"> </w:t>
      </w:r>
      <w:r w:rsidR="009C38D5" w:rsidRPr="00465582">
        <w:rPr>
          <w:rFonts w:eastAsiaTheme="majorEastAsia"/>
        </w:rPr>
        <w:t xml:space="preserve">Betalingsevne/-vilje varierer </w:t>
      </w:r>
      <w:r w:rsidR="000A0769" w:rsidRPr="00465582">
        <w:rPr>
          <w:rFonts w:eastAsiaTheme="majorEastAsia"/>
        </w:rPr>
        <w:t xml:space="preserve">mye </w:t>
      </w:r>
      <w:r w:rsidR="009C38D5" w:rsidRPr="00465582">
        <w:rPr>
          <w:rFonts w:eastAsiaTheme="majorEastAsia"/>
        </w:rPr>
        <w:t>i ulike markeder</w:t>
      </w:r>
      <w:r w:rsidR="00465582" w:rsidRPr="00465582">
        <w:rPr>
          <w:rFonts w:eastAsiaTheme="majorEastAsia"/>
        </w:rPr>
        <w:t xml:space="preserve"> og sektorer</w:t>
      </w:r>
      <w:r w:rsidRPr="00465582">
        <w:rPr>
          <w:rFonts w:eastAsiaTheme="majorEastAsia"/>
        </w:rPr>
        <w:t xml:space="preserve">. </w:t>
      </w:r>
    </w:p>
    <w:p w14:paraId="16BBF0CB" w14:textId="77777777" w:rsidR="00343991" w:rsidRDefault="00C2268F" w:rsidP="001F0241">
      <w:pPr>
        <w:pStyle w:val="Listeavsnitt"/>
        <w:numPr>
          <w:ilvl w:val="0"/>
          <w:numId w:val="41"/>
        </w:numPr>
        <w:rPr>
          <w:rFonts w:eastAsiaTheme="majorEastAsia"/>
        </w:rPr>
      </w:pPr>
      <w:r w:rsidRPr="00541CB3">
        <w:rPr>
          <w:rFonts w:eastAsiaTheme="majorEastAsia"/>
        </w:rPr>
        <w:t>Institusjonene i sektoren konkurrerer i mange tilfeller på pris</w:t>
      </w:r>
      <w:r w:rsidR="00541CB3">
        <w:rPr>
          <w:rFonts w:eastAsiaTheme="majorEastAsia"/>
        </w:rPr>
        <w:t>,</w:t>
      </w:r>
      <w:r w:rsidRPr="00541CB3">
        <w:rPr>
          <w:rFonts w:eastAsiaTheme="majorEastAsia"/>
        </w:rPr>
        <w:t xml:space="preserve"> og dette påvirker </w:t>
      </w:r>
      <w:r w:rsidR="00541CB3" w:rsidRPr="00541CB3">
        <w:rPr>
          <w:rFonts w:eastAsiaTheme="majorEastAsia"/>
        </w:rPr>
        <w:t xml:space="preserve">også </w:t>
      </w:r>
      <w:r w:rsidRPr="00541CB3">
        <w:rPr>
          <w:rFonts w:eastAsiaTheme="majorEastAsia"/>
        </w:rPr>
        <w:t xml:space="preserve">markedets betalingsvilje. </w:t>
      </w:r>
    </w:p>
    <w:p w14:paraId="43116ACC" w14:textId="46B74BB3" w:rsidR="00DF2D5E" w:rsidRDefault="003E06BF" w:rsidP="001F0241">
      <w:pPr>
        <w:pStyle w:val="Listeavsnitt"/>
        <w:numPr>
          <w:ilvl w:val="0"/>
          <w:numId w:val="41"/>
        </w:numPr>
        <w:rPr>
          <w:rFonts w:eastAsiaTheme="majorEastAsia"/>
        </w:rPr>
      </w:pPr>
      <w:r w:rsidRPr="00541CB3">
        <w:rPr>
          <w:rFonts w:eastAsiaTheme="majorEastAsia"/>
        </w:rPr>
        <w:t>H</w:t>
      </w:r>
      <w:r w:rsidR="00DF2D5E" w:rsidRPr="00541CB3">
        <w:rPr>
          <w:rFonts w:eastAsiaTheme="majorEastAsia"/>
        </w:rPr>
        <w:t xml:space="preserve">va </w:t>
      </w:r>
      <w:r w:rsidRPr="00541CB3">
        <w:rPr>
          <w:rFonts w:eastAsiaTheme="majorEastAsia"/>
        </w:rPr>
        <w:t>et gitt marked</w:t>
      </w:r>
      <w:r w:rsidR="00DF2D5E" w:rsidRPr="00541CB3">
        <w:rPr>
          <w:rFonts w:eastAsiaTheme="majorEastAsia"/>
        </w:rPr>
        <w:t xml:space="preserve"> er vant med å betale</w:t>
      </w:r>
      <w:r w:rsidR="00537E53" w:rsidRPr="00541CB3">
        <w:rPr>
          <w:rFonts w:eastAsiaTheme="majorEastAsia"/>
        </w:rPr>
        <w:t>,</w:t>
      </w:r>
      <w:r w:rsidRPr="00541CB3">
        <w:rPr>
          <w:rFonts w:eastAsiaTheme="majorEastAsia"/>
        </w:rPr>
        <w:t xml:space="preserve"> påvirker viljen</w:t>
      </w:r>
      <w:r w:rsidR="00537E53" w:rsidRPr="00541CB3">
        <w:rPr>
          <w:rFonts w:eastAsiaTheme="majorEastAsia"/>
        </w:rPr>
        <w:t xml:space="preserve"> til å betale</w:t>
      </w:r>
      <w:r w:rsidR="00541CB3" w:rsidRPr="00541CB3">
        <w:rPr>
          <w:rFonts w:eastAsiaTheme="majorEastAsia"/>
        </w:rPr>
        <w:t>.</w:t>
      </w:r>
      <w:r w:rsidR="00343991">
        <w:rPr>
          <w:rFonts w:eastAsiaTheme="majorEastAsia"/>
        </w:rPr>
        <w:t xml:space="preserve"> </w:t>
      </w:r>
    </w:p>
    <w:p w14:paraId="00DFF65C" w14:textId="316D5FA4" w:rsidR="00465582" w:rsidRDefault="00465582" w:rsidP="001F0241">
      <w:pPr>
        <w:pStyle w:val="Listeavsnitt"/>
        <w:numPr>
          <w:ilvl w:val="0"/>
          <w:numId w:val="41"/>
        </w:numPr>
        <w:rPr>
          <w:rFonts w:eastAsiaTheme="majorEastAsia"/>
        </w:rPr>
      </w:pPr>
      <w:r>
        <w:rPr>
          <w:rFonts w:eastAsiaTheme="majorEastAsia"/>
        </w:rPr>
        <w:t>Hvor attraktivt er tilbudet? (Kan avhenge av kvalitet, tilgjengelighet, status, med videre)</w:t>
      </w:r>
      <w:r w:rsidR="00813A99">
        <w:rPr>
          <w:rFonts w:eastAsiaTheme="majorEastAsia"/>
        </w:rPr>
        <w:t>.</w:t>
      </w:r>
    </w:p>
    <w:p w14:paraId="35426B3A" w14:textId="0A30A0F3" w:rsidR="00805D6A" w:rsidRDefault="00005640" w:rsidP="001F0241">
      <w:pPr>
        <w:pStyle w:val="Listeavsnitt"/>
        <w:numPr>
          <w:ilvl w:val="0"/>
          <w:numId w:val="41"/>
        </w:numPr>
        <w:rPr>
          <w:rFonts w:eastAsiaTheme="majorEastAsia"/>
        </w:rPr>
      </w:pPr>
      <w:r>
        <w:rPr>
          <w:rFonts w:eastAsiaTheme="majorEastAsia"/>
        </w:rPr>
        <w:t>Vurdering av</w:t>
      </w:r>
      <w:r w:rsidR="00805D6A">
        <w:rPr>
          <w:rFonts w:eastAsiaTheme="majorEastAsia"/>
        </w:rPr>
        <w:t xml:space="preserve"> administrativt merarbeid</w:t>
      </w:r>
      <w:r w:rsidR="00813A99">
        <w:rPr>
          <w:rFonts w:eastAsiaTheme="majorEastAsia"/>
        </w:rPr>
        <w:t>.</w:t>
      </w:r>
    </w:p>
    <w:p w14:paraId="61169A54" w14:textId="77777777" w:rsidR="003C2330" w:rsidRDefault="003C2330" w:rsidP="003C2330">
      <w:pPr>
        <w:pStyle w:val="Overskrift3"/>
        <w:numPr>
          <w:ilvl w:val="1"/>
          <w:numId w:val="23"/>
        </w:numPr>
      </w:pPr>
      <w:bookmarkStart w:id="20" w:name="_Toc516731429"/>
      <w:r>
        <w:t>Gratis tilbud versus tilbud med lav studieavgift</w:t>
      </w:r>
      <w:bookmarkEnd w:id="20"/>
    </w:p>
    <w:p w14:paraId="5A122C02" w14:textId="5072C533" w:rsidR="00991100" w:rsidRDefault="00CA1053" w:rsidP="0068292B">
      <w:pPr>
        <w:rPr>
          <w:rFonts w:asciiTheme="majorEastAsia" w:eastAsiaTheme="majorEastAsia" w:hAnsiTheme="majorEastAsia" w:cstheme="majorEastAsia"/>
        </w:rPr>
      </w:pPr>
      <w:r w:rsidRPr="00CA1053">
        <w:rPr>
          <w:rFonts w:asciiTheme="majorEastAsia" w:eastAsiaTheme="majorEastAsia" w:hAnsiTheme="majorEastAsia" w:cstheme="majorEastAsia"/>
        </w:rPr>
        <w:t>Høyere studiepoengproduksjon gir høyere resultatbevilgning for institusjonene</w:t>
      </w:r>
      <w:r>
        <w:rPr>
          <w:rFonts w:asciiTheme="majorEastAsia" w:eastAsiaTheme="majorEastAsia" w:hAnsiTheme="majorEastAsia" w:cstheme="majorEastAsia"/>
        </w:rPr>
        <w:t xml:space="preserve"> og det er derfor viktig å få studentene til å fullføre</w:t>
      </w:r>
      <w:r w:rsidRPr="00CA1053">
        <w:rPr>
          <w:rFonts w:asciiTheme="majorEastAsia" w:eastAsiaTheme="majorEastAsia" w:hAnsiTheme="majorEastAsia" w:cstheme="majorEastAsia"/>
        </w:rPr>
        <w:t>.</w:t>
      </w:r>
      <w:r>
        <w:rPr>
          <w:rFonts w:asciiTheme="majorEastAsia" w:eastAsiaTheme="majorEastAsia" w:hAnsiTheme="majorEastAsia" w:cstheme="majorEastAsia"/>
        </w:rPr>
        <w:t xml:space="preserve"> </w:t>
      </w:r>
      <w:r w:rsidR="006B3BE4" w:rsidRPr="1268772F">
        <w:rPr>
          <w:rFonts w:asciiTheme="majorEastAsia" w:eastAsiaTheme="majorEastAsia" w:hAnsiTheme="majorEastAsia" w:cstheme="majorEastAsia"/>
        </w:rPr>
        <w:t>Oppmelding</w:t>
      </w:r>
      <w:r w:rsidR="00537E53" w:rsidRPr="1268772F">
        <w:rPr>
          <w:rFonts w:asciiTheme="majorEastAsia" w:eastAsiaTheme="majorEastAsia" w:hAnsiTheme="majorEastAsia" w:cstheme="majorEastAsia"/>
        </w:rPr>
        <w:t xml:space="preserve"> til EVU med s</w:t>
      </w:r>
      <w:r w:rsidR="00C2268F" w:rsidRPr="1268772F">
        <w:rPr>
          <w:rFonts w:asciiTheme="majorEastAsia" w:eastAsiaTheme="majorEastAsia" w:hAnsiTheme="majorEastAsia" w:cstheme="majorEastAsia"/>
        </w:rPr>
        <w:t>tudieavgift</w:t>
      </w:r>
      <w:r w:rsidR="006B3BE4" w:rsidRPr="1268772F">
        <w:rPr>
          <w:rFonts w:asciiTheme="majorEastAsia" w:eastAsiaTheme="majorEastAsia" w:hAnsiTheme="majorEastAsia" w:cstheme="majorEastAsia"/>
        </w:rPr>
        <w:t>,</w:t>
      </w:r>
      <w:r w:rsidR="00C2268F" w:rsidRPr="1268772F">
        <w:rPr>
          <w:rFonts w:asciiTheme="majorEastAsia" w:eastAsiaTheme="majorEastAsia" w:hAnsiTheme="majorEastAsia" w:cstheme="majorEastAsia"/>
        </w:rPr>
        <w:t xml:space="preserve"> kan oppleves som mer </w:t>
      </w:r>
      <w:r w:rsidR="00DF2D5E" w:rsidRPr="1268772F">
        <w:rPr>
          <w:rFonts w:asciiTheme="majorEastAsia" w:eastAsiaTheme="majorEastAsia" w:hAnsiTheme="majorEastAsia" w:cstheme="majorEastAsia"/>
        </w:rPr>
        <w:t>forpliktende</w:t>
      </w:r>
      <w:r w:rsidR="00C2268F" w:rsidRPr="1268772F">
        <w:rPr>
          <w:rFonts w:asciiTheme="majorEastAsia" w:eastAsiaTheme="majorEastAsia" w:hAnsiTheme="majorEastAsia" w:cstheme="majorEastAsia"/>
        </w:rPr>
        <w:t xml:space="preserve"> enn oppmelding til EVU-tilbud som er gratis.</w:t>
      </w:r>
      <w:r w:rsidR="00DF2D5E" w:rsidRPr="1268772F">
        <w:rPr>
          <w:rFonts w:asciiTheme="majorEastAsia" w:eastAsiaTheme="majorEastAsia" w:hAnsiTheme="majorEastAsia" w:cstheme="majorEastAsia"/>
        </w:rPr>
        <w:t xml:space="preserve"> </w:t>
      </w:r>
      <w:r w:rsidR="00C2268F" w:rsidRPr="1268772F">
        <w:rPr>
          <w:rFonts w:asciiTheme="majorEastAsia" w:eastAsiaTheme="majorEastAsia" w:hAnsiTheme="majorEastAsia" w:cstheme="majorEastAsia"/>
        </w:rPr>
        <w:t xml:space="preserve">I vurderingen </w:t>
      </w:r>
      <w:r w:rsidR="00DF2D5E" w:rsidRPr="1268772F">
        <w:rPr>
          <w:rFonts w:asciiTheme="majorEastAsia" w:eastAsiaTheme="majorEastAsia" w:hAnsiTheme="majorEastAsia" w:cstheme="majorEastAsia"/>
        </w:rPr>
        <w:t xml:space="preserve">mellom </w:t>
      </w:r>
      <w:r w:rsidR="00DF2D5E" w:rsidRPr="262002DF">
        <w:rPr>
          <w:rFonts w:asciiTheme="majorEastAsia" w:eastAsiaTheme="majorEastAsia" w:hAnsiTheme="majorEastAsia" w:cstheme="majorEastAsia"/>
          <w:i/>
          <w:iCs/>
        </w:rPr>
        <w:t>lav studieavgift</w:t>
      </w:r>
      <w:r w:rsidR="00DF2D5E" w:rsidRPr="1268772F">
        <w:rPr>
          <w:rFonts w:asciiTheme="majorEastAsia" w:eastAsiaTheme="majorEastAsia" w:hAnsiTheme="majorEastAsia" w:cstheme="majorEastAsia"/>
        </w:rPr>
        <w:t xml:space="preserve"> eller </w:t>
      </w:r>
      <w:r w:rsidR="00C2268F" w:rsidRPr="262002DF">
        <w:rPr>
          <w:rFonts w:asciiTheme="majorEastAsia" w:eastAsiaTheme="majorEastAsia" w:hAnsiTheme="majorEastAsia" w:cstheme="majorEastAsia"/>
          <w:i/>
          <w:iCs/>
        </w:rPr>
        <w:t>gratis</w:t>
      </w:r>
      <w:r w:rsidR="00C2268F" w:rsidRPr="1268772F">
        <w:rPr>
          <w:rFonts w:asciiTheme="majorEastAsia" w:eastAsiaTheme="majorEastAsia" w:hAnsiTheme="majorEastAsia" w:cstheme="majorEastAsia"/>
        </w:rPr>
        <w:t xml:space="preserve"> EVU, </w:t>
      </w:r>
      <w:r w:rsidR="00DF2D5E" w:rsidRPr="1268772F">
        <w:rPr>
          <w:rFonts w:asciiTheme="majorEastAsia" w:eastAsiaTheme="majorEastAsia" w:hAnsiTheme="majorEastAsia" w:cstheme="majorEastAsia"/>
        </w:rPr>
        <w:t>argumenterer flere institusjoner</w:t>
      </w:r>
      <w:r w:rsidR="006B3BE4" w:rsidRPr="1268772F">
        <w:rPr>
          <w:rFonts w:asciiTheme="majorEastAsia" w:eastAsiaTheme="majorEastAsia" w:hAnsiTheme="majorEastAsia" w:cstheme="majorEastAsia"/>
        </w:rPr>
        <w:t xml:space="preserve"> for </w:t>
      </w:r>
      <w:r w:rsidR="00DF2D5E" w:rsidRPr="1268772F">
        <w:rPr>
          <w:rFonts w:asciiTheme="majorEastAsia" w:eastAsiaTheme="majorEastAsia" w:hAnsiTheme="majorEastAsia" w:cstheme="majorEastAsia"/>
        </w:rPr>
        <w:t>en lav</w:t>
      </w:r>
      <w:r w:rsidR="00C2268F" w:rsidRPr="1268772F">
        <w:rPr>
          <w:rFonts w:asciiTheme="majorEastAsia" w:eastAsiaTheme="majorEastAsia" w:hAnsiTheme="majorEastAsia" w:cstheme="majorEastAsia"/>
        </w:rPr>
        <w:t xml:space="preserve"> studieavgift fordi de antar at studenter som betaler litt selv, er mer tilbøyelig til å fullføre</w:t>
      </w:r>
      <w:r w:rsidR="00AE745B" w:rsidRPr="1268772F">
        <w:rPr>
          <w:rFonts w:asciiTheme="majorEastAsia" w:eastAsiaTheme="majorEastAsia" w:hAnsiTheme="majorEastAsia" w:cstheme="majorEastAsia"/>
        </w:rPr>
        <w:t xml:space="preserve"> enn de som ikke betaler.</w:t>
      </w:r>
      <w:r w:rsidR="006B3BE4" w:rsidRPr="1268772F">
        <w:rPr>
          <w:rFonts w:asciiTheme="majorEastAsia" w:eastAsiaTheme="majorEastAsia" w:hAnsiTheme="majorEastAsia" w:cstheme="majorEastAsia"/>
        </w:rPr>
        <w:t xml:space="preserve"> </w:t>
      </w:r>
      <w:r>
        <w:rPr>
          <w:rFonts w:asciiTheme="majorEastAsia" w:eastAsiaTheme="majorEastAsia" w:hAnsiTheme="majorEastAsia" w:cstheme="majorEastAsia"/>
        </w:rPr>
        <w:t>Flere</w:t>
      </w:r>
      <w:r w:rsidRPr="1268772F">
        <w:rPr>
          <w:rFonts w:asciiTheme="majorEastAsia" w:eastAsiaTheme="majorEastAsia" w:hAnsiTheme="majorEastAsia" w:cstheme="majorEastAsia"/>
        </w:rPr>
        <w:t xml:space="preserve"> </w:t>
      </w:r>
      <w:r w:rsidR="00AE745B" w:rsidRPr="1268772F">
        <w:rPr>
          <w:rFonts w:asciiTheme="majorEastAsia" w:eastAsiaTheme="majorEastAsia" w:hAnsiTheme="majorEastAsia" w:cstheme="majorEastAsia"/>
        </w:rPr>
        <w:t>an</w:t>
      </w:r>
      <w:r w:rsidR="00DF2D5E" w:rsidRPr="1268772F">
        <w:rPr>
          <w:rFonts w:asciiTheme="majorEastAsia" w:eastAsiaTheme="majorEastAsia" w:hAnsiTheme="majorEastAsia" w:cstheme="majorEastAsia"/>
        </w:rPr>
        <w:t>dre faktorer påvirke</w:t>
      </w:r>
      <w:r w:rsidR="00537E53" w:rsidRPr="1268772F">
        <w:rPr>
          <w:rFonts w:asciiTheme="majorEastAsia" w:eastAsiaTheme="majorEastAsia" w:hAnsiTheme="majorEastAsia" w:cstheme="majorEastAsia"/>
        </w:rPr>
        <w:t>r</w:t>
      </w:r>
      <w:r w:rsidR="00DF2D5E" w:rsidRPr="1268772F">
        <w:rPr>
          <w:rFonts w:asciiTheme="majorEastAsia" w:eastAsiaTheme="majorEastAsia" w:hAnsiTheme="majorEastAsia" w:cstheme="majorEastAsia"/>
        </w:rPr>
        <w:t xml:space="preserve"> </w:t>
      </w:r>
      <w:r w:rsidR="00B36948">
        <w:rPr>
          <w:rFonts w:asciiTheme="majorEastAsia" w:eastAsiaTheme="majorEastAsia" w:hAnsiTheme="majorEastAsia" w:cstheme="majorEastAsia"/>
        </w:rPr>
        <w:t xml:space="preserve">også </w:t>
      </w:r>
      <w:r w:rsidR="00AE745B" w:rsidRPr="1268772F">
        <w:rPr>
          <w:rFonts w:asciiTheme="majorEastAsia" w:eastAsiaTheme="majorEastAsia" w:hAnsiTheme="majorEastAsia" w:cstheme="majorEastAsia"/>
        </w:rPr>
        <w:t>studiepoengproduksjonen</w:t>
      </w:r>
      <w:r w:rsidR="00162554">
        <w:rPr>
          <w:rFonts w:asciiTheme="majorEastAsia" w:eastAsiaTheme="majorEastAsia" w:hAnsiTheme="majorEastAsia" w:cstheme="majorEastAsia"/>
        </w:rPr>
        <w:t>,</w:t>
      </w:r>
      <w:r w:rsidR="00537E53" w:rsidRPr="1268772F">
        <w:rPr>
          <w:rFonts w:asciiTheme="majorEastAsia" w:eastAsiaTheme="majorEastAsia" w:hAnsiTheme="majorEastAsia" w:cstheme="majorEastAsia"/>
        </w:rPr>
        <w:t xml:space="preserve"> </w:t>
      </w:r>
      <w:r w:rsidR="00AE745B" w:rsidRPr="1268772F">
        <w:rPr>
          <w:rFonts w:asciiTheme="majorEastAsia" w:eastAsiaTheme="majorEastAsia" w:hAnsiTheme="majorEastAsia" w:cstheme="majorEastAsia"/>
        </w:rPr>
        <w:t>for eksempel studentenes kvalifikasjoner og motivasjon,</w:t>
      </w:r>
      <w:r w:rsidR="008237CA" w:rsidRPr="1268772F">
        <w:rPr>
          <w:rFonts w:asciiTheme="majorEastAsia" w:eastAsiaTheme="majorEastAsia" w:hAnsiTheme="majorEastAsia" w:cstheme="majorEastAsia"/>
        </w:rPr>
        <w:t xml:space="preserve"> om studiet er nettbasert eller krever fysiske samlinger,</w:t>
      </w:r>
      <w:r w:rsidR="00AE745B" w:rsidRPr="1268772F">
        <w:rPr>
          <w:rFonts w:asciiTheme="majorEastAsia" w:eastAsiaTheme="majorEastAsia" w:hAnsiTheme="majorEastAsia" w:cstheme="majorEastAsia"/>
        </w:rPr>
        <w:t xml:space="preserve"> forventinger fra arbeidsgiver om å fullføre, kvalitet i </w:t>
      </w:r>
      <w:r w:rsidR="00537E53" w:rsidRPr="1268772F">
        <w:rPr>
          <w:rFonts w:asciiTheme="majorEastAsia" w:eastAsiaTheme="majorEastAsia" w:hAnsiTheme="majorEastAsia" w:cstheme="majorEastAsia"/>
        </w:rPr>
        <w:t xml:space="preserve">undervisning og </w:t>
      </w:r>
      <w:r w:rsidR="00AE745B" w:rsidRPr="1268772F">
        <w:rPr>
          <w:rFonts w:asciiTheme="majorEastAsia" w:eastAsiaTheme="majorEastAsia" w:hAnsiTheme="majorEastAsia" w:cstheme="majorEastAsia"/>
        </w:rPr>
        <w:t>veiledning, mv.</w:t>
      </w:r>
      <w:r w:rsidR="006B3BE4" w:rsidRPr="1268772F">
        <w:rPr>
          <w:rFonts w:asciiTheme="majorEastAsia" w:eastAsiaTheme="majorEastAsia" w:hAnsiTheme="majorEastAsia" w:cstheme="majorEastAsia"/>
        </w:rPr>
        <w:t xml:space="preserve"> </w:t>
      </w:r>
    </w:p>
    <w:p w14:paraId="4B534DA7" w14:textId="4A2FC2FB" w:rsidR="0068292B" w:rsidRDefault="00A16B15" w:rsidP="0068292B">
      <w:r>
        <w:rPr>
          <w:rFonts w:eastAsiaTheme="majorEastAsia"/>
        </w:rPr>
        <w:t xml:space="preserve">Kostnadene </w:t>
      </w:r>
      <w:r w:rsidR="00326965">
        <w:rPr>
          <w:rFonts w:eastAsiaTheme="majorEastAsia"/>
        </w:rPr>
        <w:t>ved</w:t>
      </w:r>
      <w:r w:rsidR="00DF2D5E" w:rsidRPr="1268772F">
        <w:rPr>
          <w:rFonts w:eastAsiaTheme="majorEastAsia"/>
        </w:rPr>
        <w:t xml:space="preserve"> å kreve inn lave studieavgifter</w:t>
      </w:r>
      <w:r w:rsidR="00537E53" w:rsidRPr="1268772F">
        <w:rPr>
          <w:rFonts w:eastAsiaTheme="majorEastAsia"/>
        </w:rPr>
        <w:t xml:space="preserve"> som 1000-2000 kroner per emne</w:t>
      </w:r>
      <w:r w:rsidR="00AE745B" w:rsidRPr="1268772F">
        <w:rPr>
          <w:rFonts w:eastAsiaTheme="majorEastAsia"/>
        </w:rPr>
        <w:t>,</w:t>
      </w:r>
      <w:r w:rsidR="00DF2D5E" w:rsidRPr="1268772F">
        <w:rPr>
          <w:rFonts w:eastAsiaTheme="majorEastAsia"/>
        </w:rPr>
        <w:t xml:space="preserve"> kan overgå inntektene fra studieavgifter</w:t>
      </w:r>
      <w:r w:rsidR="00537E53" w:rsidRPr="1268772F">
        <w:rPr>
          <w:rFonts w:eastAsiaTheme="majorEastAsia"/>
        </w:rPr>
        <w:t xml:space="preserve"> alene</w:t>
      </w:r>
      <w:r w:rsidR="00326965">
        <w:rPr>
          <w:rFonts w:eastAsiaTheme="majorEastAsia"/>
        </w:rPr>
        <w:t xml:space="preserve">. </w:t>
      </w:r>
      <w:r w:rsidR="005B21D1">
        <w:rPr>
          <w:rFonts w:eastAsiaTheme="majorEastAsia"/>
        </w:rPr>
        <w:t>Slike administrative merkostnader bør</w:t>
      </w:r>
      <w:r w:rsidR="00326965">
        <w:rPr>
          <w:rFonts w:eastAsiaTheme="majorEastAsia"/>
        </w:rPr>
        <w:t xml:space="preserve"> vurderes opp mot mulige g</w:t>
      </w:r>
      <w:r>
        <w:rPr>
          <w:rFonts w:eastAsiaTheme="majorEastAsia"/>
        </w:rPr>
        <w:t>evinste</w:t>
      </w:r>
      <w:r w:rsidR="00326965">
        <w:rPr>
          <w:rFonts w:eastAsiaTheme="majorEastAsia"/>
        </w:rPr>
        <w:t>r.</w:t>
      </w:r>
    </w:p>
    <w:p w14:paraId="3A6D36D3" w14:textId="15EAD9A8" w:rsidR="00991100" w:rsidRDefault="00991100">
      <w:pPr>
        <w:spacing w:after="160" w:afterAutospacing="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0ADD0AA8" w14:textId="13236397" w:rsidR="003E0052" w:rsidRPr="006168B2" w:rsidRDefault="1268772F" w:rsidP="003E0052">
      <w:pPr>
        <w:pStyle w:val="Overskrift2"/>
        <w:numPr>
          <w:ilvl w:val="0"/>
          <w:numId w:val="23"/>
        </w:numPr>
      </w:pPr>
      <w:bookmarkStart w:id="21" w:name="_Toc516731430"/>
      <w:r>
        <w:lastRenderedPageBreak/>
        <w:t>Arbeidsgruppens fortolkning av egenbetalingsforskriften</w:t>
      </w:r>
      <w:bookmarkEnd w:id="21"/>
    </w:p>
    <w:p w14:paraId="4592E114" w14:textId="77777777" w:rsidR="003004DD" w:rsidRPr="006168B2" w:rsidRDefault="003004DD" w:rsidP="003004DD">
      <w:pPr>
        <w:pStyle w:val="Overskrift3"/>
        <w:numPr>
          <w:ilvl w:val="1"/>
          <w:numId w:val="23"/>
        </w:numPr>
      </w:pPr>
      <w:bookmarkStart w:id="22" w:name="_Toc516731431"/>
      <w:r w:rsidRPr="006168B2">
        <w:t xml:space="preserve">Bakgrunn for </w:t>
      </w:r>
      <w:r w:rsidR="00A42FA1">
        <w:t xml:space="preserve">og formålet med </w:t>
      </w:r>
      <w:r w:rsidRPr="006168B2">
        <w:t>egenbetalingsforskriften</w:t>
      </w:r>
      <w:bookmarkEnd w:id="22"/>
    </w:p>
    <w:p w14:paraId="2ED19C06" w14:textId="3A1989A7" w:rsidR="0015521E" w:rsidRDefault="0079275D" w:rsidP="1268772F">
      <w:pPr>
        <w:rPr>
          <w:rFonts w:asciiTheme="majorEastAsia" w:eastAsiaTheme="majorEastAsia" w:hAnsiTheme="majorEastAsia" w:cstheme="majorEastAsia"/>
        </w:rPr>
      </w:pPr>
      <w:r>
        <w:rPr>
          <w:rFonts w:asciiTheme="majorEastAsia" w:eastAsiaTheme="majorEastAsia" w:hAnsiTheme="majorEastAsia" w:cstheme="majorEastAsia"/>
        </w:rPr>
        <w:t>Representanter fra a</w:t>
      </w:r>
      <w:r w:rsidR="00AF10FC" w:rsidRPr="1268772F">
        <w:rPr>
          <w:rFonts w:asciiTheme="majorEastAsia" w:eastAsiaTheme="majorEastAsia" w:hAnsiTheme="majorEastAsia" w:cstheme="majorEastAsia"/>
        </w:rPr>
        <w:t xml:space="preserve">rbeidsgruppen hadde dialog med KD </w:t>
      </w:r>
      <w:r w:rsidR="006168B2" w:rsidRPr="1268772F">
        <w:rPr>
          <w:rFonts w:asciiTheme="majorEastAsia" w:eastAsiaTheme="majorEastAsia" w:hAnsiTheme="majorEastAsia" w:cstheme="majorEastAsia"/>
        </w:rPr>
        <w:t xml:space="preserve">i møte </w:t>
      </w:r>
      <w:r w:rsidR="00AF10FC" w:rsidRPr="1268772F">
        <w:rPr>
          <w:rFonts w:asciiTheme="majorEastAsia" w:eastAsiaTheme="majorEastAsia" w:hAnsiTheme="majorEastAsia" w:cstheme="majorEastAsia"/>
        </w:rPr>
        <w:t>25.05.18 der vi gikk gjennom hov</w:t>
      </w:r>
      <w:r w:rsidR="0015521E" w:rsidRPr="1268772F">
        <w:rPr>
          <w:rFonts w:asciiTheme="majorEastAsia" w:eastAsiaTheme="majorEastAsia" w:hAnsiTheme="majorEastAsia" w:cstheme="majorEastAsia"/>
        </w:rPr>
        <w:t xml:space="preserve">edpunktene i </w:t>
      </w:r>
      <w:r w:rsidR="00EE4DC3">
        <w:rPr>
          <w:rFonts w:asciiTheme="majorEastAsia" w:eastAsiaTheme="majorEastAsia" w:hAnsiTheme="majorEastAsia" w:cstheme="majorEastAsia"/>
        </w:rPr>
        <w:t xml:space="preserve">notatet </w:t>
      </w:r>
      <w:r w:rsidR="00B36948">
        <w:rPr>
          <w:rFonts w:asciiTheme="majorEastAsia" w:eastAsiaTheme="majorEastAsia" w:hAnsiTheme="majorEastAsia" w:cstheme="majorEastAsia"/>
        </w:rPr>
        <w:t xml:space="preserve">som er gjengitt </w:t>
      </w:r>
      <w:r w:rsidR="00EE4DC3">
        <w:rPr>
          <w:rFonts w:asciiTheme="majorEastAsia" w:eastAsiaTheme="majorEastAsia" w:hAnsiTheme="majorEastAsia" w:cstheme="majorEastAsia"/>
        </w:rPr>
        <w:t xml:space="preserve">i </w:t>
      </w:r>
      <w:r w:rsidR="0015521E" w:rsidRPr="1268772F">
        <w:rPr>
          <w:rFonts w:asciiTheme="majorEastAsia" w:eastAsiaTheme="majorEastAsia" w:hAnsiTheme="majorEastAsia" w:cstheme="majorEastAsia"/>
        </w:rPr>
        <w:t xml:space="preserve">kapittel 4. KD viste til drøftingen i Stortinget rundt </w:t>
      </w:r>
      <w:r w:rsidR="00523865" w:rsidRPr="1268772F">
        <w:rPr>
          <w:rFonts w:asciiTheme="majorEastAsia" w:eastAsiaTheme="majorEastAsia" w:hAnsiTheme="majorEastAsia" w:cstheme="majorEastAsia"/>
        </w:rPr>
        <w:t xml:space="preserve">gratisprinsippet og </w:t>
      </w:r>
      <w:r w:rsidR="0015521E" w:rsidRPr="1268772F">
        <w:rPr>
          <w:rFonts w:asciiTheme="majorEastAsia" w:eastAsiaTheme="majorEastAsia" w:hAnsiTheme="majorEastAsia" w:cstheme="majorEastAsia"/>
        </w:rPr>
        <w:t>egenbetaling</w:t>
      </w:r>
      <w:r w:rsidR="00A76C92" w:rsidRPr="1268772F">
        <w:rPr>
          <w:rFonts w:asciiTheme="majorEastAsia" w:eastAsiaTheme="majorEastAsia" w:hAnsiTheme="majorEastAsia" w:cstheme="majorEastAsia"/>
        </w:rPr>
        <w:t xml:space="preserve"> </w:t>
      </w:r>
      <w:r w:rsidR="006168B2" w:rsidRPr="1268772F">
        <w:rPr>
          <w:rFonts w:asciiTheme="majorEastAsia" w:eastAsiaTheme="majorEastAsia" w:hAnsiTheme="majorEastAsia" w:cstheme="majorEastAsia"/>
        </w:rPr>
        <w:t>før</w:t>
      </w:r>
      <w:r w:rsidR="00EE4DC3">
        <w:rPr>
          <w:rFonts w:asciiTheme="majorEastAsia" w:eastAsiaTheme="majorEastAsia" w:hAnsiTheme="majorEastAsia" w:cstheme="majorEastAsia"/>
        </w:rPr>
        <w:t xml:space="preserve"> vedtakelse av</w:t>
      </w:r>
      <w:r w:rsidR="003116F6" w:rsidRPr="1268772F">
        <w:rPr>
          <w:rFonts w:asciiTheme="majorEastAsia" w:eastAsiaTheme="majorEastAsia" w:hAnsiTheme="majorEastAsia" w:cstheme="majorEastAsia"/>
        </w:rPr>
        <w:t xml:space="preserve"> </w:t>
      </w:r>
      <w:r w:rsidR="006D0E76">
        <w:rPr>
          <w:rFonts w:asciiTheme="majorEastAsia" w:eastAsiaTheme="majorEastAsia" w:hAnsiTheme="majorEastAsia" w:cstheme="majorEastAsia"/>
        </w:rPr>
        <w:t>u</w:t>
      </w:r>
      <w:r w:rsidR="0015521E" w:rsidRPr="1268772F">
        <w:rPr>
          <w:rFonts w:asciiTheme="majorEastAsia" w:eastAsiaTheme="majorEastAsia" w:hAnsiTheme="majorEastAsia" w:cstheme="majorEastAsia"/>
        </w:rPr>
        <w:t>niversitets- og høyskoleloven av 2005 (</w:t>
      </w:r>
      <w:r w:rsidR="00523865" w:rsidRPr="1268772F">
        <w:rPr>
          <w:rFonts w:asciiTheme="majorEastAsia" w:eastAsiaTheme="majorEastAsia" w:hAnsiTheme="majorEastAsia" w:cstheme="majorEastAsia"/>
        </w:rPr>
        <w:t xml:space="preserve">heretter kalt </w:t>
      </w:r>
      <w:r w:rsidR="0015521E" w:rsidRPr="1268772F">
        <w:rPr>
          <w:rFonts w:asciiTheme="majorEastAsia" w:eastAsiaTheme="majorEastAsia" w:hAnsiTheme="majorEastAsia" w:cstheme="majorEastAsia"/>
        </w:rPr>
        <w:t>UH-loven)</w:t>
      </w:r>
      <w:r w:rsidR="008F0735" w:rsidRPr="1268772F">
        <w:rPr>
          <w:rStyle w:val="Fotnotereferanse"/>
          <w:rFonts w:asciiTheme="majorEastAsia" w:eastAsiaTheme="majorEastAsia" w:hAnsiTheme="majorEastAsia" w:cstheme="majorEastAsia"/>
        </w:rPr>
        <w:footnoteReference w:id="20"/>
      </w:r>
      <w:r w:rsidR="00A76C92" w:rsidRPr="1268772F">
        <w:rPr>
          <w:rFonts w:asciiTheme="majorEastAsia" w:eastAsiaTheme="majorEastAsia" w:hAnsiTheme="majorEastAsia" w:cstheme="majorEastAsia"/>
        </w:rPr>
        <w:t>.</w:t>
      </w:r>
      <w:r w:rsidR="0015521E" w:rsidRPr="1268772F">
        <w:rPr>
          <w:rFonts w:asciiTheme="majorEastAsia" w:eastAsiaTheme="majorEastAsia" w:hAnsiTheme="majorEastAsia" w:cstheme="majorEastAsia"/>
        </w:rPr>
        <w:t xml:space="preserve"> </w:t>
      </w:r>
      <w:r w:rsidR="00523865" w:rsidRPr="1268772F">
        <w:rPr>
          <w:rFonts w:asciiTheme="majorEastAsia" w:eastAsiaTheme="majorEastAsia" w:hAnsiTheme="majorEastAsia" w:cstheme="majorEastAsia"/>
        </w:rPr>
        <w:t>Frem til 2005</w:t>
      </w:r>
      <w:r w:rsidR="0015521E" w:rsidRPr="1268772F">
        <w:rPr>
          <w:rFonts w:asciiTheme="majorEastAsia" w:eastAsiaTheme="majorEastAsia" w:hAnsiTheme="majorEastAsia" w:cstheme="majorEastAsia"/>
        </w:rPr>
        <w:t xml:space="preserve"> var adgangen til egenbetaling regulert i et rundskriv fra KD</w:t>
      </w:r>
      <w:r w:rsidR="0015521E" w:rsidRPr="1268772F">
        <w:rPr>
          <w:rStyle w:val="Fotnotereferanse"/>
          <w:rFonts w:asciiTheme="majorEastAsia" w:eastAsiaTheme="majorEastAsia" w:hAnsiTheme="majorEastAsia" w:cstheme="majorEastAsia"/>
        </w:rPr>
        <w:footnoteReference w:id="21"/>
      </w:r>
      <w:r w:rsidR="0015521E" w:rsidRPr="1268772F">
        <w:rPr>
          <w:rFonts w:asciiTheme="majorEastAsia" w:eastAsiaTheme="majorEastAsia" w:hAnsiTheme="majorEastAsia" w:cstheme="majorEastAsia"/>
        </w:rPr>
        <w:t xml:space="preserve">. </w:t>
      </w:r>
      <w:r w:rsidR="00523865" w:rsidRPr="1268772F">
        <w:rPr>
          <w:rFonts w:asciiTheme="majorEastAsia" w:eastAsiaTheme="majorEastAsia" w:hAnsiTheme="majorEastAsia" w:cstheme="majorEastAsia"/>
        </w:rPr>
        <w:t xml:space="preserve">I 2005 ble gratisprinsippet </w:t>
      </w:r>
      <w:r w:rsidR="0015521E" w:rsidRPr="1268772F">
        <w:rPr>
          <w:rFonts w:asciiTheme="majorEastAsia" w:eastAsiaTheme="majorEastAsia" w:hAnsiTheme="majorEastAsia" w:cstheme="majorEastAsia"/>
        </w:rPr>
        <w:t>lovfestet</w:t>
      </w:r>
      <w:r w:rsidR="00EE4DC3">
        <w:rPr>
          <w:rFonts w:asciiTheme="majorEastAsia" w:eastAsiaTheme="majorEastAsia" w:hAnsiTheme="majorEastAsia" w:cstheme="majorEastAsia"/>
        </w:rPr>
        <w:t xml:space="preserve">, </w:t>
      </w:r>
      <w:r w:rsidR="006168B2" w:rsidRPr="1268772F">
        <w:rPr>
          <w:rFonts w:asciiTheme="majorEastAsia" w:eastAsiaTheme="majorEastAsia" w:hAnsiTheme="majorEastAsia" w:cstheme="majorEastAsia"/>
        </w:rPr>
        <w:t xml:space="preserve">og </w:t>
      </w:r>
      <w:r w:rsidR="0015521E" w:rsidRPr="1268772F">
        <w:rPr>
          <w:rFonts w:asciiTheme="majorEastAsia" w:eastAsiaTheme="majorEastAsia" w:hAnsiTheme="majorEastAsia" w:cstheme="majorEastAsia"/>
        </w:rPr>
        <w:t xml:space="preserve">forskrift om egenbetaling </w:t>
      </w:r>
      <w:r w:rsidR="006168B2" w:rsidRPr="1268772F">
        <w:rPr>
          <w:rFonts w:asciiTheme="majorEastAsia" w:eastAsiaTheme="majorEastAsia" w:hAnsiTheme="majorEastAsia" w:cstheme="majorEastAsia"/>
        </w:rPr>
        <w:t xml:space="preserve">ble </w:t>
      </w:r>
      <w:r w:rsidR="0015521E" w:rsidRPr="1268772F">
        <w:rPr>
          <w:rFonts w:asciiTheme="majorEastAsia" w:eastAsiaTheme="majorEastAsia" w:hAnsiTheme="majorEastAsia" w:cstheme="majorEastAsia"/>
        </w:rPr>
        <w:t>utarbeidet basert på prinsippene i rundskrivet</w:t>
      </w:r>
      <w:r w:rsidR="000C2742" w:rsidRPr="1268772F">
        <w:rPr>
          <w:rFonts w:asciiTheme="majorEastAsia" w:eastAsiaTheme="majorEastAsia" w:hAnsiTheme="majorEastAsia" w:cstheme="majorEastAsia"/>
        </w:rPr>
        <w:t xml:space="preserve"> og stortingsbehandlingen</w:t>
      </w:r>
      <w:r w:rsidR="0015521E" w:rsidRPr="1268772F">
        <w:rPr>
          <w:rFonts w:asciiTheme="majorEastAsia" w:eastAsiaTheme="majorEastAsia" w:hAnsiTheme="majorEastAsia" w:cstheme="majorEastAsia"/>
        </w:rPr>
        <w:t>.</w:t>
      </w:r>
    </w:p>
    <w:p w14:paraId="7E580224" w14:textId="77777777" w:rsidR="003116F6" w:rsidRDefault="00523865" w:rsidP="00AF10FC">
      <w:pPr>
        <w:rPr>
          <w:rFonts w:eastAsiaTheme="majorEastAsia"/>
        </w:rPr>
      </w:pPr>
      <w:r>
        <w:rPr>
          <w:rFonts w:eastAsiaTheme="majorEastAsia"/>
          <w:noProof/>
        </w:rPr>
        <mc:AlternateContent>
          <mc:Choice Requires="wps">
            <w:drawing>
              <wp:anchor distT="0" distB="0" distL="114300" distR="114300" simplePos="0" relativeHeight="251654144" behindDoc="0" locked="0" layoutInCell="1" allowOverlap="1" wp14:anchorId="58713769" wp14:editId="7475351C">
                <wp:simplePos x="0" y="0"/>
                <wp:positionH relativeFrom="column">
                  <wp:posOffset>6138</wp:posOffset>
                </wp:positionH>
                <wp:positionV relativeFrom="paragraph">
                  <wp:posOffset>301837</wp:posOffset>
                </wp:positionV>
                <wp:extent cx="5863167" cy="1930400"/>
                <wp:effectExtent l="0" t="0" r="23495" b="12700"/>
                <wp:wrapNone/>
                <wp:docPr id="13" name="Rektangel 13"/>
                <wp:cNvGraphicFramePr/>
                <a:graphic xmlns:a="http://schemas.openxmlformats.org/drawingml/2006/main">
                  <a:graphicData uri="http://schemas.microsoft.com/office/word/2010/wordprocessingShape">
                    <wps:wsp>
                      <wps:cNvSpPr/>
                      <wps:spPr>
                        <a:xfrm>
                          <a:off x="0" y="0"/>
                          <a:ext cx="5863167" cy="19304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2508C" id="Rektangel 13" o:spid="_x0000_s1026" style="position:absolute;margin-left:.5pt;margin-top:23.75pt;width:461.65pt;height:15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" filled="f" strokecolor="#7f7f7f [1612]" strokeweight="1pt"/>
            </w:pict>
          </mc:Fallback>
        </mc:AlternateContent>
      </w:r>
      <w:r w:rsidR="00401CD2">
        <w:rPr>
          <w:rFonts w:eastAsiaTheme="majorEastAsia"/>
        </w:rPr>
        <w:t>UH-loven sier følgende om egenbetaling:</w:t>
      </w:r>
    </w:p>
    <w:p w14:paraId="11572DE5" w14:textId="77777777" w:rsidR="003116F6" w:rsidRPr="003116F6" w:rsidRDefault="003116F6" w:rsidP="00523865">
      <w:pPr>
        <w:ind w:left="708"/>
        <w:rPr>
          <w:rFonts w:eastAsiaTheme="majorEastAsia"/>
          <w:i/>
        </w:rPr>
      </w:pPr>
      <w:r w:rsidRPr="003116F6">
        <w:rPr>
          <w:rFonts w:eastAsiaTheme="majorEastAsia"/>
          <w:i/>
        </w:rPr>
        <w:t>§ 7-1.Egenbetaling</w:t>
      </w:r>
    </w:p>
    <w:p w14:paraId="588865C2" w14:textId="77777777" w:rsidR="003116F6" w:rsidRPr="00401CD2" w:rsidRDefault="003116F6" w:rsidP="00523865">
      <w:pPr>
        <w:ind w:left="708"/>
        <w:rPr>
          <w:rFonts w:eastAsiaTheme="majorEastAsia"/>
          <w:i/>
        </w:rPr>
      </w:pPr>
      <w:r w:rsidRPr="00401CD2">
        <w:rPr>
          <w:rFonts w:eastAsiaTheme="majorEastAsia"/>
          <w:i/>
        </w:rPr>
        <w:t xml:space="preserve">(1) Statlige universiteter og høyskoler </w:t>
      </w:r>
      <w:r w:rsidRPr="00401CD2">
        <w:rPr>
          <w:rFonts w:eastAsiaTheme="majorEastAsia"/>
          <w:b/>
          <w:i/>
        </w:rPr>
        <w:t>kan ikke kreve egenbetaling fra studenter for ordinære utdanninger som fører frem til en grad eller yrkesutdanning</w:t>
      </w:r>
      <w:r w:rsidRPr="00401CD2">
        <w:rPr>
          <w:rFonts w:eastAsiaTheme="majorEastAsia"/>
          <w:i/>
        </w:rPr>
        <w:t>. Departementet kan i særskilte tilfeller, etter søknad, godkjenne unntak fra denne bestemmelse.</w:t>
      </w:r>
    </w:p>
    <w:p w14:paraId="03B4ACD4" w14:textId="77777777" w:rsidR="003116F6" w:rsidRPr="00401CD2" w:rsidRDefault="003116F6" w:rsidP="00523865">
      <w:pPr>
        <w:ind w:left="708"/>
        <w:rPr>
          <w:rFonts w:eastAsiaTheme="majorEastAsia"/>
          <w:i/>
        </w:rPr>
      </w:pPr>
      <w:r w:rsidRPr="00401CD2">
        <w:rPr>
          <w:rFonts w:eastAsiaTheme="majorEastAsia"/>
          <w:i/>
        </w:rPr>
        <w:t>(2) Departementet kan fastsette</w:t>
      </w:r>
      <w:r w:rsidRPr="00401CD2">
        <w:rPr>
          <w:rFonts w:eastAsiaTheme="majorEastAsia"/>
          <w:b/>
          <w:i/>
        </w:rPr>
        <w:t xml:space="preserve"> forskrift</w:t>
      </w:r>
      <w:r w:rsidRPr="00401CD2">
        <w:rPr>
          <w:rFonts w:eastAsiaTheme="majorEastAsia"/>
          <w:i/>
        </w:rPr>
        <w:t xml:space="preserve"> om universiteter og høyskolers adgang til å ta </w:t>
      </w:r>
      <w:r w:rsidRPr="00401CD2">
        <w:rPr>
          <w:rFonts w:eastAsiaTheme="majorEastAsia"/>
          <w:b/>
          <w:i/>
        </w:rPr>
        <w:t>egenbetaling</w:t>
      </w:r>
      <w:r w:rsidRPr="00401CD2">
        <w:rPr>
          <w:rFonts w:eastAsiaTheme="majorEastAsia"/>
          <w:i/>
        </w:rPr>
        <w:t xml:space="preserve"> fra studenter og om adgangen til å kreve inn andre utgifter knyttet til studiene.</w:t>
      </w:r>
    </w:p>
    <w:p w14:paraId="2A9D4E29" w14:textId="77777777" w:rsidR="0079275D" w:rsidRDefault="0079275D" w:rsidP="06C947E4">
      <w:pPr>
        <w:rPr>
          <w:rFonts w:eastAsiaTheme="majorEastAsia"/>
        </w:rPr>
      </w:pPr>
    </w:p>
    <w:p w14:paraId="36277DD7" w14:textId="0807B451" w:rsidR="000C2742" w:rsidRDefault="000C2742" w:rsidP="06C947E4">
      <w:pPr>
        <w:rPr>
          <w:rFonts w:eastAsiaTheme="majorEastAsia"/>
        </w:rPr>
      </w:pPr>
      <w:r>
        <w:rPr>
          <w:rFonts w:eastAsiaTheme="majorEastAsia"/>
        </w:rPr>
        <w:t xml:space="preserve">Denne bestemmelsen lovfester </w:t>
      </w:r>
      <w:r w:rsidRPr="00790D53">
        <w:rPr>
          <w:rFonts w:eastAsiaTheme="majorEastAsia"/>
          <w:i/>
        </w:rPr>
        <w:t>gratisprinsippet</w:t>
      </w:r>
      <w:r>
        <w:rPr>
          <w:rFonts w:eastAsiaTheme="majorEastAsia"/>
        </w:rPr>
        <w:t xml:space="preserve"> for utdanninger som fører frem til grad eller yrkesutdanning. Det kan søkes KD om unntak fra dette prinsippet i særskilte tilfeller.  </w:t>
      </w:r>
    </w:p>
    <w:p w14:paraId="18C27A36" w14:textId="7A562817" w:rsidR="008C5B90" w:rsidRPr="0098215A" w:rsidRDefault="000C2742" w:rsidP="46D54BE2">
      <w:r w:rsidRPr="1268772F">
        <w:rPr>
          <w:rFonts w:asciiTheme="majorEastAsia" w:eastAsiaTheme="majorEastAsia" w:hAnsiTheme="majorEastAsia" w:cstheme="majorEastAsia"/>
        </w:rPr>
        <w:t xml:space="preserve">Av </w:t>
      </w:r>
      <w:r w:rsidR="008C5B90" w:rsidRPr="1268772F">
        <w:rPr>
          <w:rFonts w:asciiTheme="majorEastAsia" w:eastAsiaTheme="majorEastAsia" w:hAnsiTheme="majorEastAsia" w:cstheme="majorEastAsia"/>
        </w:rPr>
        <w:t>Kommentarutgaven til UH-loven</w:t>
      </w:r>
      <w:r w:rsidR="008C5B90" w:rsidRPr="1268772F">
        <w:rPr>
          <w:rStyle w:val="Fotnotereferanse"/>
          <w:rFonts w:asciiTheme="majorEastAsia" w:eastAsiaTheme="majorEastAsia" w:hAnsiTheme="majorEastAsia" w:cstheme="majorEastAsia"/>
        </w:rPr>
        <w:footnoteReference w:id="22"/>
      </w:r>
      <w:r w:rsidR="008C5B90" w:rsidRPr="1268772F">
        <w:rPr>
          <w:rFonts w:asciiTheme="majorEastAsia" w:eastAsiaTheme="majorEastAsia" w:hAnsiTheme="majorEastAsia" w:cstheme="majorEastAsia"/>
        </w:rPr>
        <w:t>, note 619</w:t>
      </w:r>
      <w:r w:rsidR="006168B2" w:rsidRPr="1268772F">
        <w:rPr>
          <w:rFonts w:asciiTheme="majorEastAsia" w:eastAsiaTheme="majorEastAsia" w:hAnsiTheme="majorEastAsia" w:cstheme="majorEastAsia"/>
        </w:rPr>
        <w:t>,</w:t>
      </w:r>
      <w:r w:rsidR="008C5B90" w:rsidRPr="1268772F">
        <w:rPr>
          <w:rFonts w:asciiTheme="majorEastAsia" w:eastAsiaTheme="majorEastAsia" w:hAnsiTheme="majorEastAsia" w:cstheme="majorEastAsia"/>
        </w:rPr>
        <w:t xml:space="preserve"> </w:t>
      </w:r>
      <w:r w:rsidRPr="1268772F">
        <w:rPr>
          <w:rFonts w:asciiTheme="majorEastAsia" w:eastAsiaTheme="majorEastAsia" w:hAnsiTheme="majorEastAsia" w:cstheme="majorEastAsia"/>
        </w:rPr>
        <w:t xml:space="preserve">fremgår </w:t>
      </w:r>
      <w:r w:rsidR="008C5B90" w:rsidRPr="1268772F">
        <w:rPr>
          <w:rFonts w:asciiTheme="majorEastAsia" w:eastAsiaTheme="majorEastAsia" w:hAnsiTheme="majorEastAsia" w:cstheme="majorEastAsia"/>
        </w:rPr>
        <w:t xml:space="preserve">imidlertid at: </w:t>
      </w:r>
      <w:r w:rsidR="008C5B90" w:rsidRPr="46D54BE2">
        <w:rPr>
          <w:rFonts w:asciiTheme="majorEastAsia" w:eastAsiaTheme="majorEastAsia" w:hAnsiTheme="majorEastAsia" w:cstheme="majorEastAsia"/>
          <w:i/>
          <w:iCs/>
        </w:rPr>
        <w:t xml:space="preserve">Fullmakten i § 7-1 nr. 1 må etter dette leses svært snevert; det må være tale om </w:t>
      </w:r>
      <w:r w:rsidR="008C5B90" w:rsidRPr="46D54BE2">
        <w:rPr>
          <w:rFonts w:asciiTheme="majorEastAsia" w:eastAsiaTheme="majorEastAsia" w:hAnsiTheme="majorEastAsia" w:cstheme="majorEastAsia"/>
          <w:i/>
          <w:iCs/>
          <w:u w:val="single"/>
        </w:rPr>
        <w:t>helt atypiske situasjoner</w:t>
      </w:r>
      <w:r w:rsidR="008C5B90" w:rsidRPr="46D54BE2">
        <w:rPr>
          <w:rFonts w:asciiTheme="majorEastAsia" w:eastAsiaTheme="majorEastAsia" w:hAnsiTheme="majorEastAsia" w:cstheme="majorEastAsia"/>
          <w:b/>
          <w:bCs/>
          <w:i/>
          <w:iCs/>
        </w:rPr>
        <w:t xml:space="preserve"> </w:t>
      </w:r>
      <w:r w:rsidR="008C5B90" w:rsidRPr="46D54BE2">
        <w:rPr>
          <w:rFonts w:asciiTheme="majorEastAsia" w:eastAsiaTheme="majorEastAsia" w:hAnsiTheme="majorEastAsia" w:cstheme="majorEastAsia"/>
          <w:i/>
          <w:iCs/>
        </w:rPr>
        <w:t>som nye studietilbud som medfører utgifter som ligger klart utenfor det man kan forvente at en institusjon skal kunne finansiere over sitt ordinære budsjett.</w:t>
      </w:r>
      <w:r w:rsidR="00691F72" w:rsidRPr="46D54BE2">
        <w:rPr>
          <w:rFonts w:asciiTheme="majorEastAsia" w:eastAsiaTheme="majorEastAsia" w:hAnsiTheme="majorEastAsia" w:cstheme="majorEastAsia"/>
          <w:i/>
          <w:iCs/>
        </w:rPr>
        <w:t xml:space="preserve"> </w:t>
      </w:r>
    </w:p>
    <w:p w14:paraId="15249522" w14:textId="1C489025" w:rsidR="00035707" w:rsidRPr="008C5B90" w:rsidRDefault="008C5B90" w:rsidP="262002DF">
      <w:pPr>
        <w:rPr>
          <w:rFonts w:asciiTheme="majorEastAsia" w:eastAsiaTheme="majorEastAsia" w:hAnsiTheme="majorEastAsia" w:cstheme="majorEastAsia"/>
          <w:i/>
        </w:rPr>
      </w:pPr>
      <w:r>
        <w:rPr>
          <w:rFonts w:asciiTheme="majorEastAsia" w:eastAsiaTheme="majorEastAsia" w:hAnsiTheme="majorEastAsia" w:cstheme="majorEastAsia"/>
        </w:rPr>
        <w:t>Egenbetalingsforskriften</w:t>
      </w:r>
      <w:r w:rsidR="006168B2">
        <w:rPr>
          <w:rFonts w:asciiTheme="majorEastAsia" w:eastAsiaTheme="majorEastAsia" w:hAnsiTheme="majorEastAsia" w:cstheme="majorEastAsia"/>
        </w:rPr>
        <w:t xml:space="preserve"> (</w:t>
      </w:r>
      <w:r w:rsidR="006D0E76">
        <w:rPr>
          <w:rFonts w:asciiTheme="majorEastAsia" w:eastAsiaTheme="majorEastAsia" w:hAnsiTheme="majorEastAsia" w:cstheme="majorEastAsia"/>
        </w:rPr>
        <w:t xml:space="preserve">jf. UH-loven </w:t>
      </w:r>
      <w:r w:rsidR="00523865" w:rsidRPr="00523865">
        <w:rPr>
          <w:rFonts w:asciiTheme="majorEastAsia" w:eastAsiaTheme="majorEastAsia" w:hAnsiTheme="majorEastAsia" w:cstheme="majorEastAsia"/>
        </w:rPr>
        <w:t>§ 7-1 (</w:t>
      </w:r>
      <w:r w:rsidRPr="00523865">
        <w:rPr>
          <w:rFonts w:asciiTheme="majorEastAsia" w:eastAsiaTheme="majorEastAsia" w:hAnsiTheme="majorEastAsia" w:cstheme="majorEastAsia"/>
        </w:rPr>
        <w:t>2</w:t>
      </w:r>
      <w:r w:rsidR="00523865" w:rsidRPr="00523865">
        <w:rPr>
          <w:rFonts w:asciiTheme="majorEastAsia" w:eastAsiaTheme="majorEastAsia" w:hAnsiTheme="majorEastAsia" w:cstheme="majorEastAsia"/>
        </w:rPr>
        <w:t>)</w:t>
      </w:r>
      <w:r w:rsidRPr="00523865">
        <w:rPr>
          <w:rFonts w:asciiTheme="majorEastAsia" w:eastAsiaTheme="majorEastAsia" w:hAnsiTheme="majorEastAsia" w:cstheme="majorEastAsia"/>
        </w:rPr>
        <w:t>)</w:t>
      </w:r>
      <w:r w:rsidR="00523865">
        <w:rPr>
          <w:rFonts w:asciiTheme="majorEastAsia" w:eastAsiaTheme="majorEastAsia" w:hAnsiTheme="majorEastAsia" w:cstheme="majorEastAsia"/>
        </w:rPr>
        <w:t>,</w:t>
      </w:r>
      <w:r w:rsidRPr="00523865">
        <w:rPr>
          <w:rFonts w:asciiTheme="majorEastAsia" w:eastAsiaTheme="majorEastAsia" w:hAnsiTheme="majorEastAsia" w:cstheme="majorEastAsia"/>
        </w:rPr>
        <w:t xml:space="preserve"> </w:t>
      </w:r>
      <w:r>
        <w:rPr>
          <w:rFonts w:asciiTheme="majorEastAsia" w:eastAsiaTheme="majorEastAsia" w:hAnsiTheme="majorEastAsia" w:cstheme="majorEastAsia"/>
        </w:rPr>
        <w:t xml:space="preserve">presiserer </w:t>
      </w:r>
      <w:r w:rsidR="006168B2" w:rsidRPr="00BD5602">
        <w:rPr>
          <w:rFonts w:asciiTheme="majorEastAsia" w:eastAsiaTheme="majorEastAsia" w:hAnsiTheme="majorEastAsia" w:cstheme="majorEastAsia"/>
        </w:rPr>
        <w:t>når</w:t>
      </w:r>
      <w:r w:rsidRPr="00BD5602">
        <w:rPr>
          <w:rFonts w:asciiTheme="majorEastAsia" w:eastAsiaTheme="majorEastAsia" w:hAnsiTheme="majorEastAsia" w:cstheme="majorEastAsia"/>
        </w:rPr>
        <w:t xml:space="preserve"> det er mulig å ta egenbetaling.</w:t>
      </w:r>
      <w:r>
        <w:rPr>
          <w:rFonts w:asciiTheme="majorEastAsia" w:eastAsiaTheme="majorEastAsia" w:hAnsiTheme="majorEastAsia" w:cstheme="majorEastAsia"/>
        </w:rPr>
        <w:t xml:space="preserve"> </w:t>
      </w:r>
      <w:r w:rsidR="000C2742">
        <w:rPr>
          <w:rFonts w:asciiTheme="majorEastAsia" w:eastAsiaTheme="majorEastAsia" w:hAnsiTheme="majorEastAsia" w:cstheme="majorEastAsia"/>
        </w:rPr>
        <w:t>U</w:t>
      </w:r>
      <w:r>
        <w:rPr>
          <w:rFonts w:asciiTheme="majorEastAsia" w:eastAsiaTheme="majorEastAsia" w:hAnsiTheme="majorEastAsia" w:cstheme="majorEastAsia"/>
        </w:rPr>
        <w:t xml:space="preserve">nntakene </w:t>
      </w:r>
      <w:r w:rsidR="000C2742">
        <w:rPr>
          <w:rFonts w:asciiTheme="majorEastAsia" w:eastAsiaTheme="majorEastAsia" w:hAnsiTheme="majorEastAsia" w:cstheme="majorEastAsia"/>
        </w:rPr>
        <w:t>i egenbetalingsforskriften må derfor forstås slik at de ikke bryter</w:t>
      </w:r>
      <w:r>
        <w:rPr>
          <w:rFonts w:asciiTheme="majorEastAsia" w:eastAsiaTheme="majorEastAsia" w:hAnsiTheme="majorEastAsia" w:cstheme="majorEastAsia"/>
        </w:rPr>
        <w:t xml:space="preserve"> med gratisprinsippet </w:t>
      </w:r>
      <w:r w:rsidR="00A42FA1">
        <w:rPr>
          <w:rFonts w:asciiTheme="majorEastAsia" w:eastAsiaTheme="majorEastAsia" w:hAnsiTheme="majorEastAsia" w:cstheme="majorEastAsia"/>
        </w:rPr>
        <w:t>i UH-loven</w:t>
      </w:r>
      <w:r w:rsidR="006D2121">
        <w:rPr>
          <w:rFonts w:asciiTheme="majorEastAsia" w:eastAsiaTheme="majorEastAsia" w:hAnsiTheme="majorEastAsia" w:cstheme="majorEastAsia"/>
        </w:rPr>
        <w:t xml:space="preserve"> </w:t>
      </w:r>
      <w:r w:rsidR="00691F72" w:rsidRPr="00691F72">
        <w:rPr>
          <w:rFonts w:asciiTheme="majorEastAsia" w:eastAsiaTheme="majorEastAsia" w:hAnsiTheme="majorEastAsia" w:cstheme="majorEastAsia"/>
        </w:rPr>
        <w:t>(1)</w:t>
      </w:r>
      <w:r w:rsidRPr="00691F72">
        <w:rPr>
          <w:rFonts w:asciiTheme="majorEastAsia" w:eastAsiaTheme="majorEastAsia" w:hAnsiTheme="majorEastAsia" w:cstheme="majorEastAsia"/>
        </w:rPr>
        <w:t>.</w:t>
      </w:r>
    </w:p>
    <w:p w14:paraId="3779E722" w14:textId="0BE37643" w:rsidR="003116F6" w:rsidRDefault="003116F6" w:rsidP="1268772F">
      <w:pPr>
        <w:rPr>
          <w:rFonts w:asciiTheme="majorEastAsia" w:eastAsiaTheme="majorEastAsia" w:hAnsiTheme="majorEastAsia" w:cstheme="majorEastAsia"/>
        </w:rPr>
      </w:pPr>
      <w:r w:rsidRPr="1268772F">
        <w:rPr>
          <w:rFonts w:asciiTheme="majorEastAsia" w:eastAsiaTheme="majorEastAsia" w:hAnsiTheme="majorEastAsia" w:cstheme="majorEastAsia"/>
        </w:rPr>
        <w:lastRenderedPageBreak/>
        <w:t>I høringsbrevet fra departementet</w:t>
      </w:r>
      <w:r w:rsidR="00FE5CAE" w:rsidRPr="1268772F">
        <w:rPr>
          <w:rFonts w:asciiTheme="majorEastAsia" w:eastAsiaTheme="majorEastAsia" w:hAnsiTheme="majorEastAsia" w:cstheme="majorEastAsia"/>
        </w:rPr>
        <w:t xml:space="preserve"> om egenbetalingsforskriften</w:t>
      </w:r>
      <w:r w:rsidR="00FE5CAE" w:rsidRPr="1268772F">
        <w:rPr>
          <w:rStyle w:val="Fotnotereferanse"/>
          <w:rFonts w:asciiTheme="majorEastAsia" w:eastAsiaTheme="majorEastAsia" w:hAnsiTheme="majorEastAsia" w:cstheme="majorEastAsia"/>
        </w:rPr>
        <w:footnoteReference w:id="23"/>
      </w:r>
      <w:r w:rsidR="00FE5CAE" w:rsidRPr="1268772F">
        <w:rPr>
          <w:rFonts w:asciiTheme="majorEastAsia" w:eastAsiaTheme="majorEastAsia" w:hAnsiTheme="majorEastAsia" w:cstheme="majorEastAsia"/>
        </w:rPr>
        <w:t xml:space="preserve"> står det:</w:t>
      </w:r>
    </w:p>
    <w:p w14:paraId="01AC93A4" w14:textId="77777777" w:rsidR="00FE5CAE" w:rsidRPr="00FE5CAE" w:rsidRDefault="00FE5CAE" w:rsidP="00BD5602">
      <w:pPr>
        <w:ind w:left="708"/>
        <w:rPr>
          <w:rFonts w:eastAsiaTheme="majorEastAsia"/>
          <w:i/>
        </w:rPr>
      </w:pPr>
      <w:r>
        <w:rPr>
          <w:rFonts w:eastAsiaTheme="majorEastAsia"/>
          <w:i/>
        </w:rPr>
        <w:t>«</w:t>
      </w:r>
      <w:r w:rsidRPr="00FE5CAE">
        <w:rPr>
          <w:rFonts w:eastAsiaTheme="majorEastAsia"/>
          <w:i/>
        </w:rPr>
        <w:t xml:space="preserve">Det legges til grunn for forskriften at: </w:t>
      </w:r>
    </w:p>
    <w:p w14:paraId="54A8AC54" w14:textId="77777777" w:rsidR="00FE5CAE" w:rsidRPr="00FE5CAE" w:rsidRDefault="00FE5CAE" w:rsidP="00BD5602">
      <w:pPr>
        <w:ind w:left="708"/>
        <w:rPr>
          <w:rFonts w:eastAsiaTheme="majorEastAsia"/>
          <w:i/>
        </w:rPr>
      </w:pPr>
      <w:r w:rsidRPr="00FE5CAE">
        <w:rPr>
          <w:rFonts w:eastAsiaTheme="majorEastAsia"/>
          <w:i/>
        </w:rPr>
        <w:t xml:space="preserve">- </w:t>
      </w:r>
      <w:r w:rsidRPr="00FE5CAE">
        <w:rPr>
          <w:rFonts w:eastAsiaTheme="majorEastAsia"/>
          <w:b/>
          <w:i/>
        </w:rPr>
        <w:t>Ny egenbetalingsforskrift beskytter og styrker gratisprinsippet.</w:t>
      </w:r>
      <w:r w:rsidRPr="00FE5CAE">
        <w:rPr>
          <w:rFonts w:eastAsiaTheme="majorEastAsia"/>
          <w:i/>
        </w:rPr>
        <w:t xml:space="preserve"> </w:t>
      </w:r>
    </w:p>
    <w:p w14:paraId="65E803BC" w14:textId="77777777" w:rsidR="00FE5CAE" w:rsidRPr="00FE5CAE" w:rsidRDefault="00FE5CAE" w:rsidP="00BD5602">
      <w:pPr>
        <w:ind w:left="708"/>
        <w:rPr>
          <w:rFonts w:eastAsiaTheme="majorEastAsia"/>
          <w:i/>
        </w:rPr>
      </w:pPr>
      <w:r w:rsidRPr="00FE5CAE">
        <w:rPr>
          <w:rFonts w:eastAsiaTheme="majorEastAsia"/>
          <w:i/>
        </w:rPr>
        <w:t xml:space="preserve">- </w:t>
      </w:r>
      <w:r w:rsidRPr="00FE5CAE">
        <w:rPr>
          <w:rFonts w:eastAsiaTheme="majorEastAsia"/>
          <w:b/>
          <w:i/>
        </w:rPr>
        <w:t>Egenbetalingsstudier kommer i tillegg</w:t>
      </w:r>
      <w:r w:rsidRPr="00FE5CAE">
        <w:rPr>
          <w:rFonts w:eastAsiaTheme="majorEastAsia"/>
          <w:i/>
        </w:rPr>
        <w:t xml:space="preserve"> og </w:t>
      </w:r>
      <w:r w:rsidRPr="00FE5CAE">
        <w:rPr>
          <w:rFonts w:eastAsiaTheme="majorEastAsia"/>
          <w:b/>
          <w:i/>
        </w:rPr>
        <w:t>skal ikke gå på bekostning</w:t>
      </w:r>
      <w:r w:rsidRPr="00FE5CAE">
        <w:rPr>
          <w:rFonts w:eastAsiaTheme="majorEastAsia"/>
          <w:i/>
        </w:rPr>
        <w:t xml:space="preserve"> av den statlig finansierte virksomheten. Statlige institusjoner kan ikke kreve egenbetaling hvis de over tid ikke tilfredsstiller den aktiviteten som er lagt til grunn for bevilgningen over statsbudsjettet. </w:t>
      </w:r>
    </w:p>
    <w:p w14:paraId="10E41F63" w14:textId="77777777" w:rsidR="00FE5CAE" w:rsidRPr="00FE5CAE" w:rsidRDefault="00FE5CAE" w:rsidP="00BD5602">
      <w:pPr>
        <w:ind w:left="708"/>
        <w:rPr>
          <w:rFonts w:eastAsiaTheme="majorEastAsia"/>
          <w:i/>
        </w:rPr>
      </w:pPr>
      <w:r w:rsidRPr="00FE5CAE">
        <w:rPr>
          <w:rFonts w:eastAsiaTheme="majorEastAsia"/>
          <w:i/>
        </w:rPr>
        <w:t xml:space="preserve">- </w:t>
      </w:r>
      <w:r w:rsidRPr="00FE5CAE">
        <w:rPr>
          <w:rFonts w:eastAsiaTheme="majorEastAsia"/>
          <w:b/>
          <w:i/>
        </w:rPr>
        <w:t>Det skal ikke åpnes for nye former for egenbetaling eller egenbetalingsstudier</w:t>
      </w:r>
      <w:r w:rsidRPr="00FE5CAE">
        <w:rPr>
          <w:rFonts w:eastAsiaTheme="majorEastAsia"/>
          <w:i/>
        </w:rPr>
        <w:t>.</w:t>
      </w:r>
      <w:r>
        <w:rPr>
          <w:rFonts w:eastAsiaTheme="majorEastAsia"/>
          <w:i/>
        </w:rPr>
        <w:t>»</w:t>
      </w:r>
    </w:p>
    <w:p w14:paraId="1A94D582" w14:textId="77777777" w:rsidR="00FE5CAE" w:rsidRDefault="00FE5CAE" w:rsidP="003116F6">
      <w:pPr>
        <w:rPr>
          <w:rFonts w:eastAsiaTheme="majorEastAsia"/>
        </w:rPr>
      </w:pPr>
      <w:r>
        <w:rPr>
          <w:rFonts w:eastAsiaTheme="majorEastAsia"/>
        </w:rPr>
        <w:t>Og videre:</w:t>
      </w:r>
    </w:p>
    <w:p w14:paraId="5ACFAD13" w14:textId="77777777" w:rsidR="00FE5CAE" w:rsidRDefault="00FE5CAE" w:rsidP="00BD5602">
      <w:pPr>
        <w:ind w:left="708"/>
        <w:rPr>
          <w:rFonts w:eastAsiaTheme="majorEastAsia"/>
          <w:i/>
        </w:rPr>
      </w:pPr>
      <w:r w:rsidRPr="00FE5CAE">
        <w:rPr>
          <w:rFonts w:eastAsiaTheme="majorEastAsia"/>
          <w:i/>
        </w:rPr>
        <w:t xml:space="preserve">«For de statlige </w:t>
      </w:r>
      <w:r w:rsidRPr="00FE5CAE">
        <w:rPr>
          <w:rFonts w:eastAsiaTheme="majorEastAsia"/>
          <w:b/>
          <w:i/>
        </w:rPr>
        <w:t>institusjonene viderefører den nye forskriften i hovedsak bestemmelsene i det gjeldende reglementet og eksisterende praksis, men med ytterligere begrensninger i hvilke studietilbud det kan tas betaling for.</w:t>
      </w:r>
      <w:r w:rsidRPr="00FE5CAE">
        <w:rPr>
          <w:rFonts w:eastAsiaTheme="majorEastAsia"/>
          <w:i/>
        </w:rPr>
        <w:t xml:space="preserve"> Det er gjort justeringer som følge av endrede fullmakter og nye styringsvirkemidler knyttet til bortfall av måltall, opptaksrammer og adgangsreguleringer.</w:t>
      </w:r>
      <w:r>
        <w:rPr>
          <w:rFonts w:eastAsiaTheme="majorEastAsia"/>
          <w:i/>
        </w:rPr>
        <w:t>»</w:t>
      </w:r>
      <w:r w:rsidRPr="00FE5CAE">
        <w:rPr>
          <w:rFonts w:eastAsiaTheme="majorEastAsia"/>
          <w:i/>
        </w:rPr>
        <w:t xml:space="preserve"> </w:t>
      </w:r>
    </w:p>
    <w:p w14:paraId="6C2F8B5D" w14:textId="77777777" w:rsidR="008F0735" w:rsidRDefault="008F0735" w:rsidP="003E0052">
      <w:pPr>
        <w:rPr>
          <w:rFonts w:eastAsiaTheme="majorEastAsia"/>
          <w:color w:val="000000" w:themeColor="text1"/>
        </w:rPr>
      </w:pPr>
      <w:r>
        <w:rPr>
          <w:rFonts w:eastAsiaTheme="majorEastAsia"/>
          <w:color w:val="000000" w:themeColor="text1"/>
        </w:rPr>
        <w:t>Hensikten med egenbetalingsfo</w:t>
      </w:r>
      <w:r w:rsidR="003E0052" w:rsidRPr="008F0735">
        <w:rPr>
          <w:rFonts w:eastAsiaTheme="majorEastAsia"/>
          <w:color w:val="000000" w:themeColor="text1"/>
        </w:rPr>
        <w:t>rskriften</w:t>
      </w:r>
      <w:r>
        <w:rPr>
          <w:rFonts w:eastAsiaTheme="majorEastAsia"/>
          <w:color w:val="000000" w:themeColor="text1"/>
        </w:rPr>
        <w:t xml:space="preserve"> </w:t>
      </w:r>
      <w:r w:rsidR="003E0052" w:rsidRPr="008F0735">
        <w:rPr>
          <w:rFonts w:eastAsiaTheme="majorEastAsia"/>
          <w:color w:val="000000" w:themeColor="text1"/>
        </w:rPr>
        <w:t xml:space="preserve">var </w:t>
      </w:r>
      <w:r w:rsidR="00523865">
        <w:rPr>
          <w:rFonts w:eastAsiaTheme="majorEastAsia"/>
          <w:color w:val="000000" w:themeColor="text1"/>
        </w:rPr>
        <w:t xml:space="preserve">altså </w:t>
      </w:r>
      <w:r w:rsidR="003E0052" w:rsidRPr="008F0735">
        <w:rPr>
          <w:rFonts w:eastAsiaTheme="majorEastAsia"/>
          <w:color w:val="000000" w:themeColor="text1"/>
        </w:rPr>
        <w:t xml:space="preserve">først og fremst å klargjøre </w:t>
      </w:r>
      <w:r w:rsidR="00CC18CF">
        <w:rPr>
          <w:rFonts w:eastAsiaTheme="majorEastAsia"/>
          <w:color w:val="000000" w:themeColor="text1"/>
        </w:rPr>
        <w:t>når det er anledning til å ta egenbetaling fra studenter</w:t>
      </w:r>
      <w:r w:rsidR="003E0052" w:rsidRPr="008F0735">
        <w:rPr>
          <w:rFonts w:eastAsiaTheme="majorEastAsia"/>
          <w:color w:val="000000" w:themeColor="text1"/>
        </w:rPr>
        <w:t xml:space="preserve"> (</w:t>
      </w:r>
      <w:r w:rsidR="00523865">
        <w:rPr>
          <w:rFonts w:eastAsiaTheme="majorEastAsia"/>
        </w:rPr>
        <w:t xml:space="preserve">forskriftens </w:t>
      </w:r>
      <w:r w:rsidR="00523865" w:rsidRPr="00523865">
        <w:rPr>
          <w:rFonts w:eastAsiaTheme="majorEastAsia"/>
        </w:rPr>
        <w:t>§</w:t>
      </w:r>
      <w:r w:rsidR="003E0052" w:rsidRPr="008F0735">
        <w:rPr>
          <w:rFonts w:eastAsiaTheme="majorEastAsia"/>
          <w:color w:val="000000" w:themeColor="text1"/>
        </w:rPr>
        <w:t xml:space="preserve">3-2 punkt a-d). </w:t>
      </w:r>
      <w:r w:rsidR="00523865">
        <w:rPr>
          <w:rFonts w:eastAsiaTheme="majorEastAsia"/>
          <w:color w:val="000000" w:themeColor="text1"/>
        </w:rPr>
        <w:t>Som det fremgår av departementets høringsbrev, var e</w:t>
      </w:r>
      <w:r w:rsidR="003E0052" w:rsidRPr="008F0735">
        <w:rPr>
          <w:rFonts w:eastAsiaTheme="majorEastAsia"/>
          <w:color w:val="000000" w:themeColor="text1"/>
        </w:rPr>
        <w:t>genbetalingsforskriften ment å være streng</w:t>
      </w:r>
      <w:r w:rsidR="00CC18CF">
        <w:rPr>
          <w:rFonts w:eastAsiaTheme="majorEastAsia"/>
          <w:color w:val="000000" w:themeColor="text1"/>
        </w:rPr>
        <w:t xml:space="preserve"> </w:t>
      </w:r>
      <w:r w:rsidR="00A42FA1">
        <w:rPr>
          <w:rFonts w:eastAsiaTheme="majorEastAsia"/>
          <w:color w:val="000000" w:themeColor="text1"/>
        </w:rPr>
        <w:t xml:space="preserve">og </w:t>
      </w:r>
      <w:r w:rsidR="00CC18CF">
        <w:rPr>
          <w:rFonts w:eastAsiaTheme="majorEastAsia"/>
          <w:color w:val="000000" w:themeColor="text1"/>
        </w:rPr>
        <w:t>med</w:t>
      </w:r>
      <w:r w:rsidR="00523865">
        <w:rPr>
          <w:rFonts w:eastAsiaTheme="majorEastAsia"/>
          <w:color w:val="000000" w:themeColor="text1"/>
        </w:rPr>
        <w:t xml:space="preserve"> </w:t>
      </w:r>
      <w:r w:rsidR="003E0052" w:rsidRPr="008F0735">
        <w:rPr>
          <w:rFonts w:eastAsiaTheme="majorEastAsia"/>
          <w:color w:val="000000" w:themeColor="text1"/>
        </w:rPr>
        <w:t>få og tydelige unntak</w:t>
      </w:r>
      <w:r w:rsidRPr="008F0735">
        <w:rPr>
          <w:rFonts w:eastAsiaTheme="majorEastAsia"/>
          <w:color w:val="000000" w:themeColor="text1"/>
        </w:rPr>
        <w:t xml:space="preserve">. </w:t>
      </w:r>
    </w:p>
    <w:p w14:paraId="375CFACA" w14:textId="5BF1982A" w:rsidR="003C7514" w:rsidRDefault="0053698E" w:rsidP="28257F58">
      <w:pPr>
        <w:rPr>
          <w:rFonts w:asciiTheme="majorEastAsia" w:eastAsiaTheme="majorEastAsia" w:hAnsiTheme="majorEastAsia" w:cstheme="majorEastAsia"/>
          <w:color w:val="000000" w:themeColor="text1"/>
        </w:rPr>
      </w:pPr>
      <w:r>
        <w:rPr>
          <w:rFonts w:eastAsiaTheme="majorEastAsia"/>
          <w:noProof/>
        </w:rPr>
        <mc:AlternateContent>
          <mc:Choice Requires="wps">
            <w:drawing>
              <wp:anchor distT="0" distB="0" distL="114300" distR="114300" simplePos="0" relativeHeight="251675648" behindDoc="0" locked="0" layoutInCell="1" allowOverlap="1" wp14:anchorId="5939B5F8" wp14:editId="6D4BDAD1">
                <wp:simplePos x="0" y="0"/>
                <wp:positionH relativeFrom="margin">
                  <wp:align>left</wp:align>
                </wp:positionH>
                <wp:positionV relativeFrom="paragraph">
                  <wp:posOffset>976884</wp:posOffset>
                </wp:positionV>
                <wp:extent cx="5862955" cy="1228614"/>
                <wp:effectExtent l="0" t="0" r="23495" b="10160"/>
                <wp:wrapNone/>
                <wp:docPr id="10" name="Rektangel 10"/>
                <wp:cNvGraphicFramePr/>
                <a:graphic xmlns:a="http://schemas.openxmlformats.org/drawingml/2006/main">
                  <a:graphicData uri="http://schemas.microsoft.com/office/word/2010/wordprocessingShape">
                    <wps:wsp>
                      <wps:cNvSpPr/>
                      <wps:spPr>
                        <a:xfrm>
                          <a:off x="0" y="0"/>
                          <a:ext cx="5862955" cy="1228614"/>
                        </a:xfrm>
                        <a:prstGeom prst="rect">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F0C6D" id="Rektangel 10" o:spid="_x0000_s1026" style="position:absolute;margin-left:0;margin-top:76.9pt;width:461.65pt;height:96.7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" filled="f" strokecolor="#a6a6a6" strokeweight="1pt">
                <w10:wrap anchorx="margin"/>
              </v:rect>
            </w:pict>
          </mc:Fallback>
        </mc:AlternateContent>
      </w:r>
      <w:r w:rsidR="00E6607F">
        <w:rPr>
          <w:rFonts w:asciiTheme="majorEastAsia" w:eastAsiaTheme="majorEastAsia" w:hAnsiTheme="majorEastAsia" w:cstheme="majorEastAsia"/>
          <w:color w:val="000000" w:themeColor="text1"/>
        </w:rPr>
        <w:t xml:space="preserve">Som det fremgår av kapittel 4, </w:t>
      </w:r>
      <w:r w:rsidR="003913AF">
        <w:rPr>
          <w:rFonts w:asciiTheme="majorEastAsia" w:eastAsiaTheme="majorEastAsia" w:hAnsiTheme="majorEastAsia" w:cstheme="majorEastAsia"/>
          <w:color w:val="000000" w:themeColor="text1"/>
        </w:rPr>
        <w:t>har UHR</w:t>
      </w:r>
      <w:r w:rsidR="00BD5602">
        <w:rPr>
          <w:rFonts w:asciiTheme="majorEastAsia" w:eastAsiaTheme="majorEastAsia" w:hAnsiTheme="majorEastAsia" w:cstheme="majorEastAsia"/>
          <w:color w:val="000000" w:themeColor="text1"/>
        </w:rPr>
        <w:t>,</w:t>
      </w:r>
      <w:r w:rsidR="003913AF">
        <w:rPr>
          <w:rFonts w:asciiTheme="majorEastAsia" w:eastAsiaTheme="majorEastAsia" w:hAnsiTheme="majorEastAsia" w:cstheme="majorEastAsia"/>
          <w:color w:val="000000" w:themeColor="text1"/>
        </w:rPr>
        <w:t xml:space="preserve"> ved </w:t>
      </w:r>
      <w:r w:rsidR="00E6607F">
        <w:rPr>
          <w:rFonts w:asciiTheme="majorEastAsia" w:eastAsiaTheme="majorEastAsia" w:hAnsiTheme="majorEastAsia" w:cstheme="majorEastAsia"/>
          <w:color w:val="000000" w:themeColor="text1"/>
        </w:rPr>
        <w:t>arbeidsgruppen</w:t>
      </w:r>
      <w:r w:rsidR="00BD5602">
        <w:rPr>
          <w:rFonts w:asciiTheme="majorEastAsia" w:eastAsiaTheme="majorEastAsia" w:hAnsiTheme="majorEastAsia" w:cstheme="majorEastAsia"/>
          <w:color w:val="000000" w:themeColor="text1"/>
        </w:rPr>
        <w:t>,</w:t>
      </w:r>
      <w:r w:rsidR="00E6607F">
        <w:rPr>
          <w:rFonts w:asciiTheme="majorEastAsia" w:eastAsiaTheme="majorEastAsia" w:hAnsiTheme="majorEastAsia" w:cstheme="majorEastAsia"/>
          <w:color w:val="000000" w:themeColor="text1"/>
        </w:rPr>
        <w:t xml:space="preserve"> </w:t>
      </w:r>
      <w:r w:rsidR="003913AF">
        <w:rPr>
          <w:rFonts w:asciiTheme="majorEastAsia" w:eastAsiaTheme="majorEastAsia" w:hAnsiTheme="majorEastAsia" w:cstheme="majorEastAsia"/>
          <w:color w:val="000000" w:themeColor="text1"/>
        </w:rPr>
        <w:t xml:space="preserve">etterspurt </w:t>
      </w:r>
      <w:r w:rsidR="00E6607F">
        <w:rPr>
          <w:rFonts w:asciiTheme="majorEastAsia" w:eastAsiaTheme="majorEastAsia" w:hAnsiTheme="majorEastAsia" w:cstheme="majorEastAsia"/>
          <w:color w:val="000000" w:themeColor="text1"/>
        </w:rPr>
        <w:t xml:space="preserve">en klargjøring av egenbetalingsforskriften slik at det blir enklere for institusjonene å holde seg innenfor gjeldende lover og regler. </w:t>
      </w:r>
      <w:r w:rsidR="003913AF">
        <w:rPr>
          <w:rFonts w:asciiTheme="majorEastAsia" w:eastAsiaTheme="majorEastAsia" w:hAnsiTheme="majorEastAsia" w:cstheme="majorEastAsia"/>
          <w:color w:val="000000" w:themeColor="text1"/>
        </w:rPr>
        <w:t>Inntil videre må sektoren forholde seg til</w:t>
      </w:r>
      <w:r w:rsidR="003913AF" w:rsidRPr="00E6607F">
        <w:rPr>
          <w:rFonts w:asciiTheme="majorEastAsia" w:eastAsiaTheme="majorEastAsia" w:hAnsiTheme="majorEastAsia" w:cstheme="majorEastAsia"/>
          <w:color w:val="000000" w:themeColor="text1"/>
        </w:rPr>
        <w:t xml:space="preserve"> gjeldende forskrift. Ansvaret for tolkning ligger hos institusjonene</w:t>
      </w:r>
      <w:r w:rsidR="006D0E76">
        <w:rPr>
          <w:rFonts w:asciiTheme="majorEastAsia" w:eastAsiaTheme="majorEastAsia" w:hAnsiTheme="majorEastAsia" w:cstheme="majorEastAsia"/>
          <w:color w:val="000000" w:themeColor="text1"/>
        </w:rPr>
        <w:t xml:space="preserve"> </w:t>
      </w:r>
      <w:r w:rsidR="003913AF" w:rsidRPr="00E6607F">
        <w:rPr>
          <w:rFonts w:asciiTheme="majorEastAsia" w:eastAsiaTheme="majorEastAsia" w:hAnsiTheme="majorEastAsia" w:cstheme="majorEastAsia"/>
          <w:color w:val="000000" w:themeColor="text1"/>
        </w:rPr>
        <w:t>som det fremkommer av</w:t>
      </w:r>
      <w:r>
        <w:rPr>
          <w:rFonts w:asciiTheme="majorEastAsia" w:eastAsiaTheme="majorEastAsia" w:hAnsiTheme="majorEastAsia" w:cstheme="majorEastAsia"/>
          <w:color w:val="000000" w:themeColor="text1"/>
        </w:rPr>
        <w:t xml:space="preserve"> egenbetalings-</w:t>
      </w:r>
      <w:r w:rsidR="006D0E76">
        <w:rPr>
          <w:rFonts w:asciiTheme="majorEastAsia" w:eastAsiaTheme="majorEastAsia" w:hAnsiTheme="majorEastAsia" w:cstheme="majorEastAsia"/>
          <w:color w:val="000000" w:themeColor="text1"/>
        </w:rPr>
        <w:t xml:space="preserve"> forskriften</w:t>
      </w:r>
      <w:r w:rsidR="00522C86">
        <w:rPr>
          <w:rFonts w:asciiTheme="majorEastAsia" w:eastAsiaTheme="majorEastAsia" w:hAnsiTheme="majorEastAsia" w:cstheme="majorEastAsia"/>
          <w:color w:val="000000" w:themeColor="text1"/>
        </w:rPr>
        <w:t>:</w:t>
      </w:r>
    </w:p>
    <w:p w14:paraId="430D3F2C" w14:textId="77777777" w:rsidR="003C7921" w:rsidRDefault="003913AF" w:rsidP="003C7921">
      <w:pPr>
        <w:rPr>
          <w:rFonts w:asciiTheme="majorEastAsia" w:eastAsiaTheme="majorEastAsia" w:hAnsiTheme="majorEastAsia" w:cstheme="majorEastAsia"/>
          <w:color w:val="000000" w:themeColor="text1"/>
        </w:rPr>
      </w:pPr>
      <w:r>
        <w:rPr>
          <w:rFonts w:asciiTheme="majorEastAsia" w:eastAsiaTheme="majorEastAsia" w:hAnsiTheme="majorEastAsia" w:cstheme="majorEastAsia"/>
          <w:color w:val="000000" w:themeColor="text1"/>
        </w:rPr>
        <w:t xml:space="preserve"> </w:t>
      </w:r>
      <w:r w:rsidR="003C7921">
        <w:rPr>
          <w:rFonts w:asciiTheme="majorEastAsia" w:eastAsiaTheme="majorEastAsia" w:hAnsiTheme="majorEastAsia" w:cstheme="majorEastAsia"/>
          <w:color w:val="000000" w:themeColor="text1"/>
        </w:rPr>
        <w:tab/>
      </w:r>
      <w:r w:rsidRPr="003C7921">
        <w:rPr>
          <w:rFonts w:eastAsiaTheme="majorEastAsia"/>
          <w:i/>
          <w:color w:val="000000" w:themeColor="text1"/>
        </w:rPr>
        <w:t>§ 3-2 (2)</w:t>
      </w:r>
    </w:p>
    <w:p w14:paraId="0AAEFFA8" w14:textId="6E796B10" w:rsidR="003913AF" w:rsidRDefault="003913AF" w:rsidP="003C7921">
      <w:pPr>
        <w:ind w:left="708"/>
        <w:rPr>
          <w:rFonts w:eastAsiaTheme="majorEastAsia"/>
          <w:i/>
          <w:color w:val="000000" w:themeColor="text1"/>
        </w:rPr>
      </w:pPr>
      <w:r w:rsidRPr="00E6607F">
        <w:rPr>
          <w:rFonts w:eastAsiaTheme="majorEastAsia"/>
          <w:b/>
          <w:i/>
          <w:color w:val="000000" w:themeColor="text1"/>
        </w:rPr>
        <w:t>Styret selv fastsetter retningslinjer for godkjenning og fastsetting av egenbetaling.</w:t>
      </w:r>
      <w:r w:rsidRPr="00E6607F">
        <w:rPr>
          <w:rFonts w:eastAsiaTheme="majorEastAsia"/>
          <w:i/>
          <w:color w:val="000000" w:themeColor="text1"/>
        </w:rPr>
        <w:t xml:space="preserve"> Styret, eller den styret delegerer til, godkjenner at det aktuelle kurset, fag/emne eller studieprogrammet finansieres med egenbetaling etter disse bestemmelsene, og fastsetter hvor stor egenbetalingen skal være.</w:t>
      </w:r>
    </w:p>
    <w:p w14:paraId="76927CFD" w14:textId="5F06F329" w:rsidR="003913AF" w:rsidRPr="00E6607F" w:rsidRDefault="06C947E4" w:rsidP="06C947E4">
      <w:pPr>
        <w:rPr>
          <w:rFonts w:eastAsiaTheme="majorEastAsia"/>
          <w:color w:val="000000" w:themeColor="text1"/>
        </w:rPr>
      </w:pPr>
      <w:r w:rsidRPr="06C947E4">
        <w:rPr>
          <w:rFonts w:eastAsiaTheme="majorEastAsia"/>
          <w:color w:val="000000" w:themeColor="text1"/>
        </w:rPr>
        <w:t xml:space="preserve">For å hjelpe institusjonene i UH-sektoren </w:t>
      </w:r>
      <w:r w:rsidR="00A42FA1">
        <w:rPr>
          <w:rFonts w:eastAsiaTheme="majorEastAsia"/>
          <w:color w:val="000000" w:themeColor="text1"/>
        </w:rPr>
        <w:t xml:space="preserve">med å </w:t>
      </w:r>
      <w:r w:rsidRPr="06C947E4">
        <w:rPr>
          <w:rFonts w:eastAsiaTheme="majorEastAsia"/>
          <w:color w:val="000000" w:themeColor="text1"/>
        </w:rPr>
        <w:t xml:space="preserve">fastsette retningslinjer for egenbetalingen, gir arbeidsgruppen </w:t>
      </w:r>
      <w:r w:rsidR="00A42FA1">
        <w:rPr>
          <w:rFonts w:eastAsiaTheme="majorEastAsia"/>
          <w:color w:val="000000" w:themeColor="text1"/>
        </w:rPr>
        <w:t xml:space="preserve">sin </w:t>
      </w:r>
      <w:r w:rsidRPr="06C947E4">
        <w:rPr>
          <w:rFonts w:eastAsiaTheme="majorEastAsia"/>
          <w:color w:val="000000" w:themeColor="text1"/>
        </w:rPr>
        <w:t>forståelse av egenbetalingsforskriften basert på forarbeidene til UH-loven (referert ovenfor) og statsstøtteregelverket (jf. avsnitt 4.1).</w:t>
      </w:r>
    </w:p>
    <w:p w14:paraId="2BAAF690" w14:textId="77777777" w:rsidR="003E0052" w:rsidRPr="003913AF" w:rsidRDefault="003E0052" w:rsidP="003E0052">
      <w:pPr>
        <w:pStyle w:val="Overskrift3"/>
        <w:numPr>
          <w:ilvl w:val="1"/>
          <w:numId w:val="23"/>
        </w:numPr>
        <w:rPr>
          <w:color w:val="000000" w:themeColor="text1"/>
        </w:rPr>
      </w:pPr>
      <w:bookmarkStart w:id="23" w:name="_Toc516731432"/>
      <w:r w:rsidRPr="003913AF">
        <w:rPr>
          <w:color w:val="000000" w:themeColor="text1"/>
        </w:rPr>
        <w:lastRenderedPageBreak/>
        <w:t>Handlingsrom i statsstøtteregelverket</w:t>
      </w:r>
      <w:bookmarkEnd w:id="23"/>
    </w:p>
    <w:p w14:paraId="58C1B8E5" w14:textId="0B849D02" w:rsidR="003E0052" w:rsidRDefault="00A42FA1" w:rsidP="003E0052">
      <w:pPr>
        <w:rPr>
          <w:rFonts w:eastAsiaTheme="majorEastAsia"/>
          <w:color w:val="000000" w:themeColor="text1"/>
        </w:rPr>
      </w:pPr>
      <w:r>
        <w:rPr>
          <w:rFonts w:eastAsiaTheme="majorEastAsia"/>
          <w:color w:val="000000" w:themeColor="text1"/>
        </w:rPr>
        <w:t>Utgangspunkter er at utdanningsaktiviteter anses som ikke-økonomisk aktivitet, men i noen tilfeller vil også utdanningsaktiviteter anses som økonomisk aktivitet.</w:t>
      </w:r>
      <w:r w:rsidR="00D54809">
        <w:rPr>
          <w:rFonts w:eastAsiaTheme="majorEastAsia"/>
          <w:color w:val="000000" w:themeColor="text1"/>
        </w:rPr>
        <w:t xml:space="preserve"> </w:t>
      </w:r>
      <w:r w:rsidR="003E0052" w:rsidRPr="003913AF">
        <w:rPr>
          <w:rFonts w:eastAsiaTheme="majorEastAsia"/>
          <w:color w:val="000000" w:themeColor="text1"/>
        </w:rPr>
        <w:t>Statsstøtteregelverket skiller mellom økonomisk og ikke-økonomisk aktivitet på utdanningsområdet slik:</w:t>
      </w:r>
    </w:p>
    <w:p w14:paraId="1ADF0714" w14:textId="34B274A9" w:rsidR="003E0052" w:rsidRPr="003913AF" w:rsidRDefault="009D2318" w:rsidP="00074B01">
      <w:pPr>
        <w:ind w:left="708"/>
        <w:rPr>
          <w:rFonts w:eastAsiaTheme="majorEastAsia"/>
          <w:b/>
          <w:color w:val="000000" w:themeColor="text1"/>
        </w:rPr>
      </w:pPr>
      <w:r>
        <w:rPr>
          <w:rFonts w:eastAsiaTheme="majorEastAsia"/>
          <w:noProof/>
        </w:rPr>
        <mc:AlternateContent>
          <mc:Choice Requires="wps">
            <w:drawing>
              <wp:anchor distT="0" distB="0" distL="114300" distR="114300" simplePos="0" relativeHeight="251659264" behindDoc="0" locked="0" layoutInCell="1" allowOverlap="1" wp14:anchorId="4961176D" wp14:editId="58BBA22C">
                <wp:simplePos x="0" y="0"/>
                <wp:positionH relativeFrom="margin">
                  <wp:align>left</wp:align>
                </wp:positionH>
                <wp:positionV relativeFrom="paragraph">
                  <wp:posOffset>-92672</wp:posOffset>
                </wp:positionV>
                <wp:extent cx="5862955" cy="3490623"/>
                <wp:effectExtent l="0" t="0" r="23495" b="14605"/>
                <wp:wrapNone/>
                <wp:docPr id="14" name="Rektangel 14"/>
                <wp:cNvGraphicFramePr/>
                <a:graphic xmlns:a="http://schemas.openxmlformats.org/drawingml/2006/main">
                  <a:graphicData uri="http://schemas.microsoft.com/office/word/2010/wordprocessingShape">
                    <wps:wsp>
                      <wps:cNvSpPr/>
                      <wps:spPr>
                        <a:xfrm>
                          <a:off x="0" y="0"/>
                          <a:ext cx="5862955" cy="3490623"/>
                        </a:xfrm>
                        <a:prstGeom prst="rect">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130B19" id="Rektangel 14" o:spid="_x0000_s1026" style="position:absolute;margin-left:0;margin-top:-7.3pt;width:461.65pt;height:274.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" filled="f" strokecolor="#0070c0" strokeweight="1.5pt">
                <w10:wrap anchorx="margin"/>
              </v:rect>
            </w:pict>
          </mc:Fallback>
        </mc:AlternateContent>
      </w:r>
      <w:r w:rsidR="003E0052" w:rsidRPr="003913AF">
        <w:rPr>
          <w:rFonts w:eastAsiaTheme="majorEastAsia"/>
          <w:b/>
          <w:color w:val="000000" w:themeColor="text1"/>
        </w:rPr>
        <w:t xml:space="preserve">Ikke-økonomisk aktivitet: </w:t>
      </w:r>
    </w:p>
    <w:p w14:paraId="791F5497" w14:textId="77777777" w:rsidR="003E0052" w:rsidRPr="003913AF" w:rsidRDefault="003E0052" w:rsidP="003E0052">
      <w:pPr>
        <w:ind w:left="708"/>
        <w:rPr>
          <w:rFonts w:eastAsiaTheme="majorEastAsia"/>
          <w:color w:val="000000" w:themeColor="text1"/>
        </w:rPr>
      </w:pPr>
      <w:r w:rsidRPr="003913AF">
        <w:rPr>
          <w:rFonts w:eastAsiaTheme="majorEastAsia"/>
          <w:color w:val="000000" w:themeColor="text1"/>
        </w:rPr>
        <w:t>Utdanningstilbud som er en del av det offentlig overvåkede</w:t>
      </w:r>
      <w:r w:rsidR="00A42FA1">
        <w:rPr>
          <w:rFonts w:eastAsiaTheme="majorEastAsia"/>
          <w:color w:val="000000" w:themeColor="text1"/>
        </w:rPr>
        <w:t>/kontrollerte</w:t>
      </w:r>
      <w:r w:rsidRPr="003913AF">
        <w:rPr>
          <w:rFonts w:eastAsiaTheme="majorEastAsia"/>
          <w:color w:val="000000" w:themeColor="text1"/>
        </w:rPr>
        <w:t xml:space="preserve"> og finansierte utdanningssystemet.</w:t>
      </w:r>
    </w:p>
    <w:p w14:paraId="41FD2C40" w14:textId="77777777" w:rsidR="003E0052" w:rsidRPr="003913AF" w:rsidRDefault="003E0052" w:rsidP="003E0052">
      <w:pPr>
        <w:pStyle w:val="Listeavsnitt"/>
        <w:numPr>
          <w:ilvl w:val="0"/>
          <w:numId w:val="44"/>
        </w:numPr>
        <w:spacing w:after="0" w:afterAutospacing="0"/>
        <w:ind w:left="1428"/>
        <w:contextualSpacing w:val="0"/>
        <w:rPr>
          <w:rFonts w:eastAsiaTheme="majorEastAsia"/>
          <w:color w:val="000000" w:themeColor="text1"/>
        </w:rPr>
      </w:pPr>
      <w:r w:rsidRPr="003913AF">
        <w:rPr>
          <w:rFonts w:eastAsiaTheme="majorEastAsia"/>
          <w:color w:val="000000" w:themeColor="text1"/>
        </w:rPr>
        <w:t>Innenfor det nasjonale utdanningssystemet har myndighetene stor frihet til å utforme systemet slik de ønsker</w:t>
      </w:r>
    </w:p>
    <w:p w14:paraId="289775C8" w14:textId="77777777" w:rsidR="003E0052" w:rsidRPr="003913AF" w:rsidRDefault="003E0052" w:rsidP="003E0052">
      <w:pPr>
        <w:pStyle w:val="Listeavsnitt"/>
        <w:numPr>
          <w:ilvl w:val="0"/>
          <w:numId w:val="44"/>
        </w:numPr>
        <w:spacing w:after="0" w:afterAutospacing="0"/>
        <w:ind w:left="1428"/>
        <w:contextualSpacing w:val="0"/>
        <w:rPr>
          <w:rFonts w:eastAsiaTheme="majorEastAsia"/>
          <w:color w:val="000000" w:themeColor="text1"/>
        </w:rPr>
      </w:pPr>
      <w:r w:rsidRPr="003913AF">
        <w:rPr>
          <w:rFonts w:eastAsiaTheme="majorEastAsia"/>
          <w:color w:val="000000" w:themeColor="text1"/>
        </w:rPr>
        <w:t>Det gjelder selv om studentene/foreldrene betaler deler av kostnadene.</w:t>
      </w:r>
    </w:p>
    <w:p w14:paraId="558E4E06" w14:textId="364C0FB8" w:rsidR="003E0052" w:rsidRPr="003913AF" w:rsidRDefault="1268772F" w:rsidP="006A0F73">
      <w:pPr>
        <w:pStyle w:val="Listeavsnitt"/>
        <w:numPr>
          <w:ilvl w:val="0"/>
          <w:numId w:val="44"/>
        </w:numPr>
        <w:spacing w:after="0" w:afterAutospacing="0"/>
        <w:ind w:left="1428"/>
        <w:contextualSpacing w:val="0"/>
        <w:rPr>
          <w:rFonts w:asciiTheme="majorEastAsia" w:eastAsiaTheme="majorEastAsia" w:hAnsiTheme="majorEastAsia" w:cstheme="majorEastAsia"/>
          <w:color w:val="000000" w:themeColor="text1"/>
        </w:rPr>
      </w:pPr>
      <w:r w:rsidRPr="1268772F">
        <w:rPr>
          <w:rFonts w:asciiTheme="majorEastAsia" w:eastAsiaTheme="majorEastAsia" w:hAnsiTheme="majorEastAsia" w:cstheme="majorEastAsia"/>
          <w:color w:val="000000" w:themeColor="text1"/>
        </w:rPr>
        <w:t xml:space="preserve">Staten må betale </w:t>
      </w:r>
      <w:r w:rsidRPr="46D54BE2">
        <w:rPr>
          <w:rFonts w:asciiTheme="majorEastAsia" w:eastAsiaTheme="majorEastAsia" w:hAnsiTheme="majorEastAsia" w:cstheme="majorEastAsia"/>
          <w:i/>
          <w:iCs/>
          <w:color w:val="000000" w:themeColor="text1"/>
        </w:rPr>
        <w:t>hovedparten av kostnadene</w:t>
      </w:r>
      <w:r w:rsidRPr="1268772F">
        <w:rPr>
          <w:rFonts w:asciiTheme="majorEastAsia" w:eastAsiaTheme="majorEastAsia" w:hAnsiTheme="majorEastAsia" w:cstheme="majorEastAsia"/>
          <w:color w:val="000000" w:themeColor="text1"/>
        </w:rPr>
        <w:t xml:space="preserve">, dvs. </w:t>
      </w:r>
      <w:r w:rsidR="00F94AA0">
        <w:rPr>
          <w:rFonts w:asciiTheme="majorEastAsia" w:eastAsiaTheme="majorEastAsia" w:hAnsiTheme="majorEastAsia" w:cstheme="majorEastAsia"/>
          <w:color w:val="000000" w:themeColor="text1"/>
        </w:rPr>
        <w:t>minst</w:t>
      </w:r>
      <w:r w:rsidRPr="1268772F">
        <w:rPr>
          <w:rFonts w:asciiTheme="majorEastAsia" w:eastAsiaTheme="majorEastAsia" w:hAnsiTheme="majorEastAsia" w:cstheme="majorEastAsia"/>
          <w:color w:val="000000" w:themeColor="text1"/>
        </w:rPr>
        <w:t xml:space="preserve"> 51 prosent av de faktiske kostnadene, jf. </w:t>
      </w:r>
      <w:r w:rsidR="00E8667D" w:rsidRPr="1268772F">
        <w:rPr>
          <w:rFonts w:asciiTheme="majorEastAsia" w:eastAsiaTheme="majorEastAsia" w:hAnsiTheme="majorEastAsia" w:cstheme="majorEastAsia"/>
          <w:color w:val="000000" w:themeColor="text1"/>
        </w:rPr>
        <w:t>generaladvokatens</w:t>
      </w:r>
      <w:r w:rsidRPr="1268772F">
        <w:rPr>
          <w:rFonts w:asciiTheme="majorEastAsia" w:eastAsiaTheme="majorEastAsia" w:hAnsiTheme="majorEastAsia" w:cstheme="majorEastAsia"/>
          <w:color w:val="000000" w:themeColor="text1"/>
        </w:rPr>
        <w:t xml:space="preserve"> syn i </w:t>
      </w:r>
      <w:proofErr w:type="spellStart"/>
      <w:r w:rsidRPr="1268772F">
        <w:rPr>
          <w:rFonts w:asciiTheme="majorEastAsia" w:eastAsiaTheme="majorEastAsia" w:hAnsiTheme="majorEastAsia" w:cstheme="majorEastAsia"/>
          <w:color w:val="000000" w:themeColor="text1"/>
        </w:rPr>
        <w:t>Scoula</w:t>
      </w:r>
      <w:proofErr w:type="spellEnd"/>
      <w:r w:rsidRPr="1268772F">
        <w:rPr>
          <w:rFonts w:asciiTheme="majorEastAsia" w:eastAsiaTheme="majorEastAsia" w:hAnsiTheme="majorEastAsia" w:cstheme="majorEastAsia"/>
          <w:color w:val="000000" w:themeColor="text1"/>
        </w:rPr>
        <w:t xml:space="preserve"> Montessori-sakene.</w:t>
      </w:r>
      <w:r w:rsidR="00EE4DC3">
        <w:rPr>
          <w:rStyle w:val="Fotnotereferanse"/>
          <w:rFonts w:asciiTheme="majorEastAsia" w:eastAsiaTheme="majorEastAsia" w:hAnsiTheme="majorEastAsia" w:cstheme="majorEastAsia"/>
          <w:color w:val="000000" w:themeColor="text1"/>
        </w:rPr>
        <w:footnoteReference w:id="24"/>
      </w:r>
      <w:r w:rsidRPr="1268772F">
        <w:rPr>
          <w:rFonts w:asciiTheme="majorEastAsia" w:eastAsiaTheme="majorEastAsia" w:hAnsiTheme="majorEastAsia" w:cstheme="majorEastAsia"/>
          <w:color w:val="000000" w:themeColor="text1"/>
        </w:rPr>
        <w:t xml:space="preserve"> </w:t>
      </w:r>
      <w:r w:rsidR="00EE4DC3">
        <w:rPr>
          <w:rFonts w:asciiTheme="majorEastAsia" w:eastAsiaTheme="majorEastAsia" w:hAnsiTheme="majorEastAsia" w:cstheme="majorEastAsia"/>
          <w:color w:val="000000" w:themeColor="text1"/>
        </w:rPr>
        <w:t xml:space="preserve">Hvis det blir en fremtidig endring i forståelsen av «hovedparten», må Norge rette seg etter det. </w:t>
      </w:r>
    </w:p>
    <w:p w14:paraId="4F542A40" w14:textId="77777777" w:rsidR="003E0052" w:rsidRPr="003913AF" w:rsidRDefault="003E0052" w:rsidP="003E0052">
      <w:pPr>
        <w:pStyle w:val="Listeavsnitt"/>
        <w:numPr>
          <w:ilvl w:val="0"/>
          <w:numId w:val="44"/>
        </w:numPr>
        <w:spacing w:after="0" w:afterAutospacing="0"/>
        <w:ind w:left="1428"/>
        <w:contextualSpacing w:val="0"/>
        <w:rPr>
          <w:rFonts w:eastAsiaTheme="majorEastAsia"/>
          <w:color w:val="000000" w:themeColor="text1"/>
        </w:rPr>
      </w:pPr>
      <w:r w:rsidRPr="003913AF">
        <w:rPr>
          <w:rFonts w:eastAsiaTheme="majorEastAsia"/>
          <w:color w:val="000000" w:themeColor="text1"/>
        </w:rPr>
        <w:t>Det legges ikke inn fortjeneste i beregning av kostnader.</w:t>
      </w:r>
    </w:p>
    <w:p w14:paraId="2CFAA8D4" w14:textId="77777777" w:rsidR="00B05F97" w:rsidRDefault="00B05F97" w:rsidP="003E0052">
      <w:pPr>
        <w:ind w:left="708"/>
        <w:rPr>
          <w:rFonts w:eastAsiaTheme="majorEastAsia"/>
          <w:b/>
          <w:color w:val="000000" w:themeColor="text1"/>
        </w:rPr>
      </w:pPr>
    </w:p>
    <w:p w14:paraId="081A3648" w14:textId="6401190D" w:rsidR="003E0052" w:rsidRPr="003913AF" w:rsidRDefault="003E0052" w:rsidP="003E0052">
      <w:pPr>
        <w:ind w:left="708"/>
        <w:rPr>
          <w:rFonts w:eastAsiaTheme="majorEastAsia"/>
          <w:color w:val="000000" w:themeColor="text1"/>
        </w:rPr>
      </w:pPr>
      <w:r w:rsidRPr="003913AF">
        <w:rPr>
          <w:rFonts w:eastAsiaTheme="majorEastAsia"/>
          <w:b/>
          <w:color w:val="000000" w:themeColor="text1"/>
        </w:rPr>
        <w:t>Økonomisk aktivitet:</w:t>
      </w:r>
      <w:r w:rsidRPr="003913AF">
        <w:rPr>
          <w:rFonts w:eastAsiaTheme="majorEastAsia"/>
          <w:color w:val="000000" w:themeColor="text1"/>
        </w:rPr>
        <w:t xml:space="preserve"> Andre undervisningsaktiviteter, særlig kurs (uten studiepoeng)</w:t>
      </w:r>
    </w:p>
    <w:p w14:paraId="70A12884" w14:textId="77777777" w:rsidR="003E0052" w:rsidRPr="003913AF" w:rsidRDefault="003E0052" w:rsidP="003E0052">
      <w:pPr>
        <w:pStyle w:val="Listeavsnitt"/>
        <w:numPr>
          <w:ilvl w:val="0"/>
          <w:numId w:val="45"/>
        </w:numPr>
        <w:spacing w:after="0" w:afterAutospacing="0"/>
        <w:ind w:left="1428"/>
        <w:contextualSpacing w:val="0"/>
        <w:rPr>
          <w:rFonts w:eastAsiaTheme="majorEastAsia"/>
          <w:color w:val="000000" w:themeColor="text1"/>
        </w:rPr>
      </w:pPr>
      <w:r w:rsidRPr="003913AF">
        <w:rPr>
          <w:rFonts w:eastAsiaTheme="majorEastAsia"/>
          <w:color w:val="000000" w:themeColor="text1"/>
        </w:rPr>
        <w:t xml:space="preserve">Betalingen må dekke </w:t>
      </w:r>
      <w:r w:rsidRPr="003913AF">
        <w:rPr>
          <w:rFonts w:eastAsiaTheme="majorEastAsia"/>
          <w:i/>
          <w:color w:val="000000" w:themeColor="text1"/>
        </w:rPr>
        <w:t>totale kostnader, pluss en fortjeneste</w:t>
      </w:r>
    </w:p>
    <w:p w14:paraId="719C5147" w14:textId="77777777" w:rsidR="003E0052" w:rsidRPr="003913AF" w:rsidRDefault="003E0052" w:rsidP="003E0052">
      <w:pPr>
        <w:ind w:left="708"/>
        <w:rPr>
          <w:rFonts w:eastAsiaTheme="majorEastAsia"/>
          <w:color w:val="000000" w:themeColor="text1"/>
        </w:rPr>
      </w:pPr>
    </w:p>
    <w:p w14:paraId="14E6FE6B" w14:textId="77777777" w:rsidR="003E0052" w:rsidRPr="00B55297" w:rsidRDefault="003E0052" w:rsidP="003E0052">
      <w:pPr>
        <w:rPr>
          <w:rFonts w:eastAsiaTheme="majorEastAsia"/>
          <w:color w:val="000000" w:themeColor="text1"/>
        </w:rPr>
      </w:pPr>
      <w:r w:rsidRPr="003913AF">
        <w:rPr>
          <w:rFonts w:eastAsiaTheme="majorEastAsia"/>
          <w:color w:val="000000" w:themeColor="text1"/>
        </w:rPr>
        <w:t xml:space="preserve">For å klassifisere aktiviteten som ikke-økonomisk eller økonomisk må </w:t>
      </w:r>
      <w:r w:rsidRPr="00506DD6">
        <w:rPr>
          <w:rFonts w:eastAsiaTheme="majorEastAsia"/>
          <w:i/>
          <w:color w:val="000000" w:themeColor="text1"/>
        </w:rPr>
        <w:t>hver uavhengige aktivitet</w:t>
      </w:r>
      <w:r w:rsidRPr="00304A69">
        <w:rPr>
          <w:rFonts w:eastAsiaTheme="majorEastAsia"/>
          <w:b/>
          <w:color w:val="000000" w:themeColor="text1"/>
        </w:rPr>
        <w:t xml:space="preserve"> </w:t>
      </w:r>
      <w:r w:rsidRPr="00B55297">
        <w:rPr>
          <w:rFonts w:eastAsiaTheme="majorEastAsia"/>
          <w:color w:val="000000" w:themeColor="text1"/>
        </w:rPr>
        <w:t>vurderes for seg, jf. avsnitt 4.1 c). Aktiviteter som henger sammen, vurderes samlet.</w:t>
      </w:r>
    </w:p>
    <w:p w14:paraId="7CBAF874" w14:textId="77777777" w:rsidR="003E0052" w:rsidRPr="00B55297" w:rsidRDefault="00B55297" w:rsidP="003E0052">
      <w:pPr>
        <w:pStyle w:val="Overskrift3"/>
        <w:numPr>
          <w:ilvl w:val="1"/>
          <w:numId w:val="23"/>
        </w:numPr>
        <w:rPr>
          <w:color w:val="000000" w:themeColor="text1"/>
        </w:rPr>
      </w:pPr>
      <w:bookmarkStart w:id="24" w:name="_Toc516731433"/>
      <w:r w:rsidRPr="00B55297">
        <w:rPr>
          <w:color w:val="000000" w:themeColor="text1"/>
        </w:rPr>
        <w:t>Hovedregel og unntak</w:t>
      </w:r>
      <w:bookmarkEnd w:id="24"/>
    </w:p>
    <w:p w14:paraId="0809FC66" w14:textId="567FC5D8" w:rsidR="00795D84" w:rsidRPr="00B55297" w:rsidRDefault="009D5157" w:rsidP="28257F58">
      <w:pPr>
        <w:rPr>
          <w:rFonts w:asciiTheme="majorEastAsia" w:eastAsiaTheme="majorEastAsia" w:hAnsiTheme="majorEastAsia" w:cstheme="majorEastAsia"/>
          <w:color w:val="000000" w:themeColor="text1"/>
        </w:rPr>
      </w:pPr>
      <w:r>
        <w:rPr>
          <w:rFonts w:eastAsiaTheme="majorEastAsia"/>
          <w:noProof/>
        </w:rPr>
        <mc:AlternateContent>
          <mc:Choice Requires="wps">
            <w:drawing>
              <wp:anchor distT="0" distB="0" distL="114300" distR="114300" simplePos="0" relativeHeight="251668480" behindDoc="0" locked="0" layoutInCell="1" allowOverlap="1" wp14:anchorId="52E3F5D9" wp14:editId="42ED36E9">
                <wp:simplePos x="0" y="0"/>
                <wp:positionH relativeFrom="margin">
                  <wp:align>left</wp:align>
                </wp:positionH>
                <wp:positionV relativeFrom="paragraph">
                  <wp:posOffset>246756</wp:posOffset>
                </wp:positionV>
                <wp:extent cx="5862955" cy="1851193"/>
                <wp:effectExtent l="0" t="0" r="23495" b="15875"/>
                <wp:wrapNone/>
                <wp:docPr id="18" name="Rektangel 18"/>
                <wp:cNvGraphicFramePr/>
                <a:graphic xmlns:a="http://schemas.openxmlformats.org/drawingml/2006/main">
                  <a:graphicData uri="http://schemas.microsoft.com/office/word/2010/wordprocessingShape">
                    <wps:wsp>
                      <wps:cNvSpPr/>
                      <wps:spPr>
                        <a:xfrm>
                          <a:off x="0" y="0"/>
                          <a:ext cx="5862955" cy="1851193"/>
                        </a:xfrm>
                        <a:prstGeom prst="rect">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7433A" id="Rektangel 18" o:spid="_x0000_s1026" style="position:absolute;margin-left:0;margin-top:19.45pt;width:461.65pt;height:145.7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" filled="f" strokecolor="#a5a5a5 [2092]" strokeweight="1pt">
                <w10:wrap anchorx="margin"/>
              </v:rect>
            </w:pict>
          </mc:Fallback>
        </mc:AlternateContent>
      </w:r>
      <w:r w:rsidR="00B55297" w:rsidRPr="00B55297">
        <w:rPr>
          <w:rFonts w:asciiTheme="majorEastAsia" w:eastAsiaTheme="majorEastAsia" w:hAnsiTheme="majorEastAsia" w:cstheme="majorEastAsia"/>
          <w:color w:val="000000" w:themeColor="text1"/>
        </w:rPr>
        <w:t>Hovedregelen i egenbetalingsforskriften</w:t>
      </w:r>
      <w:r w:rsidR="00795D84">
        <w:rPr>
          <w:rFonts w:asciiTheme="majorEastAsia" w:eastAsiaTheme="majorEastAsia" w:hAnsiTheme="majorEastAsia" w:cstheme="majorEastAsia"/>
          <w:color w:val="000000" w:themeColor="text1"/>
        </w:rPr>
        <w:t xml:space="preserve"> </w:t>
      </w:r>
      <w:r w:rsidR="00A42FA1">
        <w:rPr>
          <w:rFonts w:asciiTheme="majorEastAsia" w:eastAsiaTheme="majorEastAsia" w:hAnsiTheme="majorEastAsia" w:cstheme="majorEastAsia"/>
          <w:color w:val="000000" w:themeColor="text1"/>
        </w:rPr>
        <w:t>som</w:t>
      </w:r>
      <w:r w:rsidR="00B55297" w:rsidRPr="00B55297">
        <w:rPr>
          <w:rFonts w:asciiTheme="majorEastAsia" w:eastAsiaTheme="majorEastAsia" w:hAnsiTheme="majorEastAsia" w:cstheme="majorEastAsia"/>
          <w:color w:val="000000" w:themeColor="text1"/>
        </w:rPr>
        <w:t xml:space="preserve"> kommer fra UH-loven § 7-1</w:t>
      </w:r>
      <w:r w:rsidR="00B55297">
        <w:rPr>
          <w:rFonts w:asciiTheme="majorEastAsia" w:eastAsiaTheme="majorEastAsia" w:hAnsiTheme="majorEastAsia" w:cstheme="majorEastAsia"/>
          <w:color w:val="000000" w:themeColor="text1"/>
        </w:rPr>
        <w:t xml:space="preserve"> (1)</w:t>
      </w:r>
      <w:r w:rsidR="00795D84">
        <w:rPr>
          <w:rStyle w:val="Fotnotereferanse"/>
          <w:rFonts w:asciiTheme="majorEastAsia" w:eastAsiaTheme="majorEastAsia" w:hAnsiTheme="majorEastAsia" w:cstheme="majorEastAsia"/>
          <w:color w:val="000000" w:themeColor="text1"/>
        </w:rPr>
        <w:footnoteReference w:id="25"/>
      </w:r>
      <w:r w:rsidR="00506DD6">
        <w:rPr>
          <w:rFonts w:asciiTheme="majorEastAsia" w:eastAsiaTheme="majorEastAsia" w:hAnsiTheme="majorEastAsia" w:cstheme="majorEastAsia"/>
          <w:color w:val="000000" w:themeColor="text1"/>
        </w:rPr>
        <w:t xml:space="preserve"> lyder slik</w:t>
      </w:r>
      <w:r w:rsidR="00A42FA1">
        <w:rPr>
          <w:rFonts w:asciiTheme="majorEastAsia" w:eastAsiaTheme="majorEastAsia" w:hAnsiTheme="majorEastAsia" w:cstheme="majorEastAsia"/>
          <w:color w:val="000000" w:themeColor="text1"/>
        </w:rPr>
        <w:t>:</w:t>
      </w:r>
    </w:p>
    <w:p w14:paraId="767D8055" w14:textId="6C34F6F9" w:rsidR="003E0052" w:rsidRPr="00B55297" w:rsidRDefault="003E0052" w:rsidP="00074B01">
      <w:pPr>
        <w:spacing w:before="96" w:after="0"/>
        <w:ind w:left="360"/>
        <w:rPr>
          <w:rFonts w:eastAsiaTheme="majorEastAsia"/>
          <w:i/>
          <w:color w:val="000000" w:themeColor="text1"/>
        </w:rPr>
      </w:pPr>
      <w:r w:rsidRPr="00B55297">
        <w:rPr>
          <w:rFonts w:eastAsiaTheme="majorEastAsia"/>
          <w:i/>
          <w:color w:val="000000" w:themeColor="text1"/>
        </w:rPr>
        <w:t>§ 3-1.Hovedregel</w:t>
      </w:r>
    </w:p>
    <w:p w14:paraId="47B13451" w14:textId="77777777" w:rsidR="003E0052" w:rsidRPr="00D54809" w:rsidRDefault="003E0052" w:rsidP="00074B01">
      <w:pPr>
        <w:pStyle w:val="Listeavsnitt"/>
        <w:numPr>
          <w:ilvl w:val="0"/>
          <w:numId w:val="43"/>
        </w:numPr>
        <w:spacing w:after="0" w:afterAutospacing="0"/>
        <w:ind w:left="720"/>
        <w:contextualSpacing w:val="0"/>
        <w:rPr>
          <w:rFonts w:eastAsiaTheme="majorEastAsia"/>
          <w:b/>
          <w:i/>
          <w:color w:val="000000" w:themeColor="text1"/>
        </w:rPr>
      </w:pPr>
      <w:r w:rsidRPr="00B55297">
        <w:rPr>
          <w:rFonts w:eastAsiaTheme="majorEastAsia"/>
          <w:i/>
          <w:color w:val="000000" w:themeColor="text1"/>
        </w:rPr>
        <w:t xml:space="preserve">Statlige institusjoner kan ikke kreve egenbetaling fra studenter for </w:t>
      </w:r>
      <w:r w:rsidRPr="00D54809">
        <w:rPr>
          <w:rFonts w:eastAsiaTheme="majorEastAsia"/>
          <w:b/>
          <w:i/>
          <w:color w:val="000000" w:themeColor="text1"/>
        </w:rPr>
        <w:t xml:space="preserve">studieprogrammer som fører frem til en grad eller yrkesutdanning. </w:t>
      </w:r>
    </w:p>
    <w:p w14:paraId="7430CF94" w14:textId="77777777" w:rsidR="003E0052" w:rsidRPr="00B55297" w:rsidRDefault="003E0052" w:rsidP="00074B01">
      <w:pPr>
        <w:pStyle w:val="Listeavsnitt"/>
        <w:numPr>
          <w:ilvl w:val="0"/>
          <w:numId w:val="43"/>
        </w:numPr>
        <w:spacing w:after="0" w:afterAutospacing="0"/>
        <w:ind w:left="720"/>
        <w:contextualSpacing w:val="0"/>
        <w:rPr>
          <w:rFonts w:eastAsiaTheme="majorEastAsia"/>
          <w:i/>
          <w:color w:val="000000" w:themeColor="text1"/>
        </w:rPr>
      </w:pPr>
      <w:r w:rsidRPr="00B55297">
        <w:rPr>
          <w:rFonts w:eastAsiaTheme="majorEastAsia"/>
          <w:i/>
          <w:color w:val="000000" w:themeColor="text1"/>
        </w:rPr>
        <w:t xml:space="preserve">Statlige institusjoner kan ikke kreve egenbetaling hvis institusjonen over tid ikke tilfredsstiller den aktiviteten som er lagt til grunn for bevilgningen over statsbudsjettet. Studieprogrammer, fag/emner eller kurs med egenbetaling skal ikke gå på bekostning av institusjonens statlig finansierte utdannings- og forskningsvirksomhet. </w:t>
      </w:r>
    </w:p>
    <w:p w14:paraId="666578C0" w14:textId="77777777" w:rsidR="00D82C4A" w:rsidRDefault="003E0052" w:rsidP="003E0052">
      <w:pPr>
        <w:rPr>
          <w:rFonts w:eastAsiaTheme="majorEastAsia"/>
          <w:color w:val="000000" w:themeColor="text1"/>
        </w:rPr>
      </w:pPr>
      <w:r w:rsidRPr="00B55297">
        <w:rPr>
          <w:rFonts w:eastAsiaTheme="majorEastAsia"/>
          <w:color w:val="000000" w:themeColor="text1"/>
        </w:rPr>
        <w:lastRenderedPageBreak/>
        <w:t xml:space="preserve">Hovedregelen </w:t>
      </w:r>
      <w:r w:rsidRPr="00D82C4A">
        <w:rPr>
          <w:rFonts w:eastAsiaTheme="majorEastAsia"/>
          <w:color w:val="000000" w:themeColor="text1"/>
        </w:rPr>
        <w:t xml:space="preserve">klargjør at </w:t>
      </w:r>
      <w:r w:rsidRPr="00506DD6">
        <w:rPr>
          <w:rFonts w:eastAsiaTheme="majorEastAsia"/>
          <w:i/>
          <w:color w:val="000000" w:themeColor="text1"/>
        </w:rPr>
        <w:t>studieprogrammer som fører frem til en grad eller yrkesutdanning</w:t>
      </w:r>
      <w:r w:rsidRPr="00D82C4A">
        <w:rPr>
          <w:rFonts w:eastAsiaTheme="majorEastAsia"/>
          <w:color w:val="000000" w:themeColor="text1"/>
        </w:rPr>
        <w:t>, skal være</w:t>
      </w:r>
      <w:r w:rsidR="00D82C4A">
        <w:rPr>
          <w:rFonts w:eastAsiaTheme="majorEastAsia"/>
          <w:color w:val="000000" w:themeColor="text1"/>
        </w:rPr>
        <w:t xml:space="preserve"> </w:t>
      </w:r>
      <w:r w:rsidRPr="00D82C4A">
        <w:rPr>
          <w:rFonts w:eastAsiaTheme="majorEastAsia"/>
          <w:b/>
          <w:color w:val="000000" w:themeColor="text1"/>
        </w:rPr>
        <w:t>gratis</w:t>
      </w:r>
      <w:r w:rsidRPr="00D82C4A">
        <w:rPr>
          <w:rFonts w:eastAsiaTheme="majorEastAsia"/>
          <w:color w:val="000000" w:themeColor="text1"/>
        </w:rPr>
        <w:t>.</w:t>
      </w:r>
      <w:r w:rsidRPr="00B55297">
        <w:rPr>
          <w:rFonts w:eastAsiaTheme="majorEastAsia"/>
          <w:color w:val="000000" w:themeColor="text1"/>
        </w:rPr>
        <w:t xml:space="preserve"> </w:t>
      </w:r>
    </w:p>
    <w:p w14:paraId="63570137" w14:textId="7C8A72DD" w:rsidR="003E0052" w:rsidRPr="00B55297" w:rsidRDefault="003E0052" w:rsidP="003E0052">
      <w:pPr>
        <w:rPr>
          <w:rFonts w:eastAsiaTheme="majorEastAsia"/>
          <w:color w:val="000000" w:themeColor="text1"/>
        </w:rPr>
      </w:pPr>
      <w:r w:rsidRPr="00B55297">
        <w:rPr>
          <w:rFonts w:eastAsiaTheme="majorEastAsia"/>
          <w:color w:val="000000" w:themeColor="text1"/>
        </w:rPr>
        <w:t xml:space="preserve">Tilbud der det er anledning til å ta betaling fra studenter, skal </w:t>
      </w:r>
      <w:r w:rsidRPr="00D82C4A">
        <w:rPr>
          <w:rFonts w:eastAsiaTheme="majorEastAsia"/>
          <w:i/>
          <w:color w:val="000000" w:themeColor="text1"/>
        </w:rPr>
        <w:t>ikke gå på bekostning</w:t>
      </w:r>
      <w:r w:rsidRPr="00B55297">
        <w:rPr>
          <w:rFonts w:eastAsiaTheme="majorEastAsia"/>
          <w:color w:val="000000" w:themeColor="text1"/>
        </w:rPr>
        <w:t xml:space="preserve"> av </w:t>
      </w:r>
      <w:r w:rsidRPr="00D82C4A">
        <w:rPr>
          <w:rFonts w:eastAsiaTheme="majorEastAsia"/>
          <w:i/>
          <w:color w:val="000000" w:themeColor="text1"/>
        </w:rPr>
        <w:t>institusjonens statlig finansierte utdannings- og forskningsvirksomhet.</w:t>
      </w:r>
      <w:r w:rsidRPr="00B55297">
        <w:rPr>
          <w:rFonts w:eastAsiaTheme="majorEastAsia"/>
          <w:color w:val="000000" w:themeColor="text1"/>
        </w:rPr>
        <w:t xml:space="preserve"> </w:t>
      </w:r>
    </w:p>
    <w:p w14:paraId="1BD691D2" w14:textId="54DAC7E1" w:rsidR="00CE487B" w:rsidRPr="00B55297" w:rsidRDefault="00795D84" w:rsidP="006C54F3">
      <w:pPr>
        <w:rPr>
          <w:rFonts w:eastAsiaTheme="majorEastAsia"/>
          <w:color w:val="000000" w:themeColor="text1"/>
        </w:rPr>
      </w:pPr>
      <w:r>
        <w:rPr>
          <w:rFonts w:eastAsiaTheme="majorEastAsia"/>
          <w:noProof/>
        </w:rPr>
        <mc:AlternateContent>
          <mc:Choice Requires="wps">
            <w:drawing>
              <wp:anchor distT="0" distB="0" distL="114300" distR="114300" simplePos="0" relativeHeight="251662336" behindDoc="0" locked="0" layoutInCell="1" allowOverlap="1" wp14:anchorId="69FD67BC" wp14:editId="2D78F7C2">
                <wp:simplePos x="0" y="0"/>
                <wp:positionH relativeFrom="margin">
                  <wp:align>left</wp:align>
                </wp:positionH>
                <wp:positionV relativeFrom="paragraph">
                  <wp:posOffset>272802</wp:posOffset>
                </wp:positionV>
                <wp:extent cx="5862955" cy="2341659"/>
                <wp:effectExtent l="0" t="0" r="23495" b="20955"/>
                <wp:wrapNone/>
                <wp:docPr id="15" name="Rektangel 15"/>
                <wp:cNvGraphicFramePr/>
                <a:graphic xmlns:a="http://schemas.openxmlformats.org/drawingml/2006/main">
                  <a:graphicData uri="http://schemas.microsoft.com/office/word/2010/wordprocessingShape">
                    <wps:wsp>
                      <wps:cNvSpPr/>
                      <wps:spPr>
                        <a:xfrm>
                          <a:off x="0" y="0"/>
                          <a:ext cx="5862955" cy="2341659"/>
                        </a:xfrm>
                        <a:prstGeom prst="rect">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2FEB9F" id="Rektangel 15" o:spid="_x0000_s1026" style="position:absolute;margin-left:0;margin-top:21.5pt;width:461.65pt;height:184.4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" filled="f" strokecolor="#a5a5a5 [2092]" strokeweight="1pt">
                <w10:wrap anchorx="margin"/>
              </v:rect>
            </w:pict>
          </mc:Fallback>
        </mc:AlternateContent>
      </w:r>
      <w:r w:rsidR="006C54F3" w:rsidRPr="00B55297">
        <w:rPr>
          <w:rFonts w:eastAsiaTheme="majorEastAsia"/>
          <w:b/>
          <w:color w:val="000000" w:themeColor="text1"/>
        </w:rPr>
        <w:t>Unntakene</w:t>
      </w:r>
      <w:r w:rsidR="006C54F3" w:rsidRPr="00D82C4A">
        <w:rPr>
          <w:rFonts w:eastAsiaTheme="majorEastAsia"/>
          <w:b/>
          <w:color w:val="000000" w:themeColor="text1"/>
        </w:rPr>
        <w:t xml:space="preserve"> </w:t>
      </w:r>
      <w:r w:rsidR="00B55297" w:rsidRPr="00D82C4A">
        <w:rPr>
          <w:rFonts w:eastAsiaTheme="majorEastAsia"/>
          <w:b/>
          <w:color w:val="000000" w:themeColor="text1"/>
        </w:rPr>
        <w:t xml:space="preserve">fra hovedregelen </w:t>
      </w:r>
      <w:r w:rsidR="006C54F3" w:rsidRPr="00B55297">
        <w:rPr>
          <w:rFonts w:eastAsiaTheme="majorEastAsia"/>
          <w:color w:val="000000" w:themeColor="text1"/>
        </w:rPr>
        <w:t xml:space="preserve">er definert i </w:t>
      </w:r>
      <w:r w:rsidR="00991100">
        <w:rPr>
          <w:rFonts w:eastAsiaTheme="majorEastAsia"/>
          <w:color w:val="000000" w:themeColor="text1"/>
        </w:rPr>
        <w:t xml:space="preserve">egenbetalingsforskriften: </w:t>
      </w:r>
    </w:p>
    <w:p w14:paraId="11A4DBEA" w14:textId="43F62448" w:rsidR="006C54F3" w:rsidRPr="00B55297" w:rsidRDefault="006C54F3" w:rsidP="00CE487B">
      <w:pPr>
        <w:ind w:left="708"/>
        <w:rPr>
          <w:rFonts w:eastAsiaTheme="majorEastAsia"/>
          <w:color w:val="000000" w:themeColor="text1"/>
        </w:rPr>
      </w:pPr>
      <w:r w:rsidRPr="00B55297">
        <w:rPr>
          <w:rFonts w:eastAsiaTheme="majorEastAsia"/>
          <w:color w:val="000000" w:themeColor="text1"/>
        </w:rPr>
        <w:t>§ 3-2 (1):</w:t>
      </w:r>
    </w:p>
    <w:tbl>
      <w:tblPr>
        <w:tblW w:w="13406" w:type="dxa"/>
        <w:tblInd w:w="708" w:type="dxa"/>
        <w:shd w:val="clear" w:color="auto" w:fill="FFFFFF"/>
        <w:tblCellMar>
          <w:top w:w="15" w:type="dxa"/>
          <w:left w:w="15" w:type="dxa"/>
          <w:bottom w:w="15" w:type="dxa"/>
          <w:right w:w="15" w:type="dxa"/>
        </w:tblCellMar>
        <w:tblLook w:val="04A0" w:firstRow="1" w:lastRow="0" w:firstColumn="1" w:lastColumn="0" w:noHBand="0" w:noVBand="1"/>
      </w:tblPr>
      <w:tblGrid>
        <w:gridCol w:w="669"/>
        <w:gridCol w:w="12737"/>
      </w:tblGrid>
      <w:tr w:rsidR="00174816" w:rsidRPr="00B55297" w14:paraId="0A14D22D" w14:textId="77777777" w:rsidTr="1AE49FCB">
        <w:tc>
          <w:tcPr>
            <w:tcW w:w="0" w:type="auto"/>
            <w:gridSpan w:val="2"/>
            <w:shd w:val="clear" w:color="auto" w:fill="FFFFFF" w:themeFill="background1"/>
            <w:hideMark/>
          </w:tcPr>
          <w:p w14:paraId="7C956371" w14:textId="6AC402E3" w:rsidR="006C54F3" w:rsidRPr="00B55297" w:rsidRDefault="006C54F3" w:rsidP="006C54F3">
            <w:pPr>
              <w:pStyle w:val="NormalWeb"/>
              <w:spacing w:before="115" w:beforeAutospacing="0" w:after="0" w:afterAutospacing="0"/>
              <w:rPr>
                <w:rFonts w:eastAsiaTheme="majorEastAsia"/>
                <w:i/>
                <w:color w:val="000000" w:themeColor="text1"/>
                <w:szCs w:val="20"/>
              </w:rPr>
            </w:pPr>
            <w:r w:rsidRPr="00B55297">
              <w:rPr>
                <w:rFonts w:eastAsiaTheme="majorEastAsia"/>
                <w:i/>
                <w:color w:val="000000" w:themeColor="text1"/>
                <w:szCs w:val="20"/>
              </w:rPr>
              <w:t>Statlige institusjoner kan kreve egenbetaling i følgende tilfeller:</w:t>
            </w:r>
          </w:p>
        </w:tc>
      </w:tr>
      <w:tr w:rsidR="00174816" w:rsidRPr="00B55297" w14:paraId="2A6DF66C" w14:textId="77777777" w:rsidTr="1AE49FCB">
        <w:tc>
          <w:tcPr>
            <w:tcW w:w="669" w:type="dxa"/>
            <w:shd w:val="clear" w:color="auto" w:fill="FFFFFF" w:themeFill="background1"/>
            <w:noWrap/>
            <w:tcMar>
              <w:top w:w="0" w:type="dxa"/>
              <w:left w:w="30" w:type="dxa"/>
              <w:bottom w:w="0" w:type="dxa"/>
              <w:right w:w="30" w:type="dxa"/>
            </w:tcMar>
            <w:hideMark/>
          </w:tcPr>
          <w:p w14:paraId="5BCFC005" w14:textId="77777777" w:rsidR="006C54F3" w:rsidRPr="00B55297" w:rsidRDefault="006C54F3" w:rsidP="006C54F3">
            <w:pPr>
              <w:pStyle w:val="NormalWeb"/>
              <w:spacing w:before="115" w:beforeAutospacing="0" w:after="0" w:afterAutospacing="0"/>
              <w:rPr>
                <w:rFonts w:eastAsiaTheme="majorEastAsia"/>
                <w:i/>
                <w:color w:val="000000" w:themeColor="text1"/>
                <w:szCs w:val="20"/>
              </w:rPr>
            </w:pPr>
            <w:r w:rsidRPr="00B55297">
              <w:rPr>
                <w:rFonts w:eastAsiaTheme="majorEastAsia"/>
                <w:i/>
                <w:color w:val="000000" w:themeColor="text1"/>
                <w:szCs w:val="20"/>
              </w:rPr>
              <w:t>a)</w:t>
            </w:r>
          </w:p>
        </w:tc>
        <w:tc>
          <w:tcPr>
            <w:tcW w:w="0" w:type="auto"/>
            <w:shd w:val="clear" w:color="auto" w:fill="FFFFFF" w:themeFill="background1"/>
            <w:tcMar>
              <w:top w:w="0" w:type="dxa"/>
              <w:left w:w="30" w:type="dxa"/>
              <w:bottom w:w="0" w:type="dxa"/>
              <w:right w:w="30" w:type="dxa"/>
            </w:tcMar>
            <w:hideMark/>
          </w:tcPr>
          <w:p w14:paraId="4C065815" w14:textId="77777777" w:rsidR="006C54F3" w:rsidRPr="00B55297" w:rsidRDefault="006C54F3" w:rsidP="006C54F3">
            <w:pPr>
              <w:pStyle w:val="NormalWeb"/>
              <w:spacing w:before="115" w:beforeAutospacing="0" w:after="0" w:afterAutospacing="0"/>
              <w:rPr>
                <w:rFonts w:eastAsiaTheme="majorEastAsia"/>
                <w:i/>
                <w:color w:val="000000" w:themeColor="text1"/>
                <w:szCs w:val="20"/>
              </w:rPr>
            </w:pPr>
            <w:r w:rsidRPr="00B55297">
              <w:rPr>
                <w:rFonts w:eastAsiaTheme="majorEastAsia"/>
                <w:i/>
                <w:color w:val="000000" w:themeColor="text1"/>
                <w:szCs w:val="20"/>
              </w:rPr>
              <w:t>for kurs.</w:t>
            </w:r>
          </w:p>
        </w:tc>
      </w:tr>
      <w:tr w:rsidR="00174816" w:rsidRPr="00B55297" w14:paraId="10E0D881" w14:textId="77777777" w:rsidTr="1AE49FCB">
        <w:tc>
          <w:tcPr>
            <w:tcW w:w="669" w:type="dxa"/>
            <w:shd w:val="clear" w:color="auto" w:fill="FFFFFF" w:themeFill="background1"/>
            <w:noWrap/>
            <w:tcMar>
              <w:top w:w="0" w:type="dxa"/>
              <w:left w:w="30" w:type="dxa"/>
              <w:bottom w:w="0" w:type="dxa"/>
              <w:right w:w="30" w:type="dxa"/>
            </w:tcMar>
            <w:hideMark/>
          </w:tcPr>
          <w:p w14:paraId="57934A13" w14:textId="77777777" w:rsidR="006C54F3" w:rsidRPr="00B55297" w:rsidRDefault="006C54F3" w:rsidP="006C54F3">
            <w:pPr>
              <w:pStyle w:val="NormalWeb"/>
              <w:spacing w:before="115" w:beforeAutospacing="0" w:after="0" w:afterAutospacing="0"/>
              <w:rPr>
                <w:rFonts w:eastAsiaTheme="majorEastAsia"/>
                <w:i/>
                <w:color w:val="000000" w:themeColor="text1"/>
                <w:szCs w:val="20"/>
              </w:rPr>
            </w:pPr>
            <w:r w:rsidRPr="00B55297">
              <w:rPr>
                <w:rFonts w:eastAsiaTheme="majorEastAsia"/>
                <w:i/>
                <w:color w:val="000000" w:themeColor="text1"/>
                <w:szCs w:val="20"/>
              </w:rPr>
              <w:t>b)</w:t>
            </w:r>
          </w:p>
        </w:tc>
        <w:tc>
          <w:tcPr>
            <w:tcW w:w="0" w:type="auto"/>
            <w:shd w:val="clear" w:color="auto" w:fill="FFFFFF" w:themeFill="background1"/>
            <w:tcMar>
              <w:top w:w="0" w:type="dxa"/>
              <w:left w:w="30" w:type="dxa"/>
              <w:bottom w:w="0" w:type="dxa"/>
              <w:right w:w="30" w:type="dxa"/>
            </w:tcMar>
            <w:hideMark/>
          </w:tcPr>
          <w:p w14:paraId="488DA7A0" w14:textId="77777777" w:rsidR="00304A69" w:rsidRDefault="006C54F3" w:rsidP="006C54F3">
            <w:pPr>
              <w:pStyle w:val="NormalWeb"/>
              <w:spacing w:before="115" w:beforeAutospacing="0" w:after="0" w:afterAutospacing="0"/>
              <w:rPr>
                <w:rFonts w:eastAsiaTheme="majorEastAsia"/>
                <w:i/>
                <w:color w:val="000000" w:themeColor="text1"/>
                <w:szCs w:val="20"/>
              </w:rPr>
            </w:pPr>
            <w:r w:rsidRPr="00B55297">
              <w:rPr>
                <w:rFonts w:eastAsiaTheme="majorEastAsia"/>
                <w:i/>
                <w:color w:val="000000" w:themeColor="text1"/>
                <w:szCs w:val="20"/>
              </w:rPr>
              <w:t xml:space="preserve">for fag/emner som normalt ikke er del av studieprogram som fører fram til </w:t>
            </w:r>
          </w:p>
          <w:p w14:paraId="7D646E1A" w14:textId="77777777" w:rsidR="006C54F3" w:rsidRPr="00B55297" w:rsidRDefault="006C54F3" w:rsidP="006C54F3">
            <w:pPr>
              <w:pStyle w:val="NormalWeb"/>
              <w:spacing w:before="115" w:beforeAutospacing="0" w:after="0" w:afterAutospacing="0"/>
              <w:rPr>
                <w:rFonts w:eastAsiaTheme="majorEastAsia"/>
                <w:i/>
                <w:color w:val="000000" w:themeColor="text1"/>
                <w:szCs w:val="20"/>
              </w:rPr>
            </w:pPr>
            <w:r w:rsidRPr="00B55297">
              <w:rPr>
                <w:rFonts w:eastAsiaTheme="majorEastAsia"/>
                <w:i/>
                <w:color w:val="000000" w:themeColor="text1"/>
                <w:szCs w:val="20"/>
              </w:rPr>
              <w:t>grad eller yrkesutdanning.</w:t>
            </w:r>
          </w:p>
        </w:tc>
      </w:tr>
      <w:tr w:rsidR="00174816" w:rsidRPr="00B55297" w14:paraId="0BBE7738" w14:textId="77777777" w:rsidTr="1AE49FCB">
        <w:tc>
          <w:tcPr>
            <w:tcW w:w="669" w:type="dxa"/>
            <w:shd w:val="clear" w:color="auto" w:fill="FFFFFF" w:themeFill="background1"/>
            <w:noWrap/>
            <w:tcMar>
              <w:top w:w="0" w:type="dxa"/>
              <w:left w:w="30" w:type="dxa"/>
              <w:bottom w:w="0" w:type="dxa"/>
              <w:right w:w="30" w:type="dxa"/>
            </w:tcMar>
            <w:hideMark/>
          </w:tcPr>
          <w:p w14:paraId="1CDE867C" w14:textId="77777777" w:rsidR="006C54F3" w:rsidRPr="00B55297" w:rsidRDefault="006C54F3" w:rsidP="006C54F3">
            <w:pPr>
              <w:pStyle w:val="NormalWeb"/>
              <w:spacing w:before="115" w:beforeAutospacing="0" w:after="0" w:afterAutospacing="0"/>
              <w:rPr>
                <w:rFonts w:eastAsiaTheme="majorEastAsia"/>
                <w:i/>
                <w:color w:val="000000" w:themeColor="text1"/>
                <w:szCs w:val="20"/>
              </w:rPr>
            </w:pPr>
            <w:r w:rsidRPr="00B55297">
              <w:rPr>
                <w:rFonts w:eastAsiaTheme="majorEastAsia"/>
                <w:i/>
                <w:color w:val="000000" w:themeColor="text1"/>
                <w:szCs w:val="20"/>
              </w:rPr>
              <w:t>c)</w:t>
            </w:r>
          </w:p>
        </w:tc>
        <w:tc>
          <w:tcPr>
            <w:tcW w:w="0" w:type="auto"/>
            <w:shd w:val="clear" w:color="auto" w:fill="FFFFFF" w:themeFill="background1"/>
            <w:tcMar>
              <w:top w:w="0" w:type="dxa"/>
              <w:left w:w="30" w:type="dxa"/>
              <w:bottom w:w="0" w:type="dxa"/>
              <w:right w:w="30" w:type="dxa"/>
            </w:tcMar>
            <w:hideMark/>
          </w:tcPr>
          <w:p w14:paraId="1FDA10AD" w14:textId="77777777" w:rsidR="006C54F3" w:rsidRPr="00B55297" w:rsidRDefault="006C54F3" w:rsidP="006C54F3">
            <w:pPr>
              <w:pStyle w:val="NormalWeb"/>
              <w:spacing w:before="115" w:beforeAutospacing="0" w:after="0" w:afterAutospacing="0"/>
              <w:rPr>
                <w:rFonts w:eastAsiaTheme="majorEastAsia"/>
                <w:i/>
                <w:color w:val="000000" w:themeColor="text1"/>
                <w:szCs w:val="20"/>
              </w:rPr>
            </w:pPr>
            <w:r w:rsidRPr="00B55297">
              <w:rPr>
                <w:rFonts w:eastAsiaTheme="majorEastAsia"/>
                <w:i/>
                <w:color w:val="000000" w:themeColor="text1"/>
                <w:szCs w:val="20"/>
              </w:rPr>
              <w:t>for erfaringsbaserte mastergradsstudier.</w:t>
            </w:r>
          </w:p>
        </w:tc>
      </w:tr>
      <w:tr w:rsidR="00174816" w:rsidRPr="00B55297" w14:paraId="33ACCD69" w14:textId="77777777" w:rsidTr="1AE49FCB">
        <w:tc>
          <w:tcPr>
            <w:tcW w:w="669" w:type="dxa"/>
            <w:shd w:val="clear" w:color="auto" w:fill="FFFFFF" w:themeFill="background1"/>
            <w:noWrap/>
            <w:tcMar>
              <w:top w:w="0" w:type="dxa"/>
              <w:left w:w="30" w:type="dxa"/>
              <w:bottom w:w="0" w:type="dxa"/>
              <w:right w:w="30" w:type="dxa"/>
            </w:tcMar>
            <w:hideMark/>
          </w:tcPr>
          <w:p w14:paraId="24F065EE" w14:textId="7A315414" w:rsidR="006C54F3" w:rsidRPr="00B55297" w:rsidRDefault="006C54F3" w:rsidP="006C54F3">
            <w:pPr>
              <w:pStyle w:val="NormalWeb"/>
              <w:spacing w:before="115" w:beforeAutospacing="0" w:after="0" w:afterAutospacing="0"/>
              <w:rPr>
                <w:rFonts w:eastAsiaTheme="majorEastAsia"/>
                <w:i/>
                <w:color w:val="000000" w:themeColor="text1"/>
                <w:szCs w:val="20"/>
              </w:rPr>
            </w:pPr>
            <w:r w:rsidRPr="00B55297">
              <w:rPr>
                <w:rFonts w:eastAsiaTheme="majorEastAsia"/>
                <w:i/>
                <w:color w:val="000000" w:themeColor="text1"/>
                <w:szCs w:val="20"/>
              </w:rPr>
              <w:t>d)</w:t>
            </w:r>
          </w:p>
        </w:tc>
        <w:tc>
          <w:tcPr>
            <w:tcW w:w="0" w:type="auto"/>
            <w:shd w:val="clear" w:color="auto" w:fill="FFFFFF" w:themeFill="background1"/>
            <w:tcMar>
              <w:top w:w="0" w:type="dxa"/>
              <w:left w:w="30" w:type="dxa"/>
              <w:bottom w:w="0" w:type="dxa"/>
              <w:right w:w="30" w:type="dxa"/>
            </w:tcMar>
            <w:hideMark/>
          </w:tcPr>
          <w:p w14:paraId="358312FC" w14:textId="77777777" w:rsidR="00304A69" w:rsidRDefault="006C54F3" w:rsidP="006C54F3">
            <w:pPr>
              <w:pStyle w:val="NormalWeb"/>
              <w:spacing w:before="115" w:beforeAutospacing="0" w:after="0" w:afterAutospacing="0"/>
              <w:rPr>
                <w:rFonts w:eastAsiaTheme="majorEastAsia"/>
                <w:i/>
                <w:color w:val="000000" w:themeColor="text1"/>
                <w:szCs w:val="20"/>
              </w:rPr>
            </w:pPr>
            <w:r w:rsidRPr="00B55297">
              <w:rPr>
                <w:rFonts w:eastAsiaTheme="majorEastAsia"/>
                <w:i/>
                <w:color w:val="000000" w:themeColor="text1"/>
                <w:szCs w:val="20"/>
              </w:rPr>
              <w:t xml:space="preserve">av studenter som fyller opp ledige plasser på studieprogram eller fag/emner </w:t>
            </w:r>
          </w:p>
          <w:p w14:paraId="007C17E1" w14:textId="77777777" w:rsidR="006C54F3" w:rsidRPr="00B55297" w:rsidRDefault="006C54F3" w:rsidP="006C54F3">
            <w:pPr>
              <w:pStyle w:val="NormalWeb"/>
              <w:spacing w:before="115" w:beforeAutospacing="0" w:after="0" w:afterAutospacing="0"/>
              <w:rPr>
                <w:rFonts w:eastAsiaTheme="majorEastAsia"/>
                <w:i/>
                <w:color w:val="000000" w:themeColor="text1"/>
                <w:szCs w:val="20"/>
              </w:rPr>
            </w:pPr>
            <w:r w:rsidRPr="00B55297">
              <w:rPr>
                <w:rFonts w:eastAsiaTheme="majorEastAsia"/>
                <w:i/>
                <w:color w:val="000000" w:themeColor="text1"/>
                <w:szCs w:val="20"/>
              </w:rPr>
              <w:t>som er oppdragsfinansiert.</w:t>
            </w:r>
          </w:p>
        </w:tc>
      </w:tr>
    </w:tbl>
    <w:p w14:paraId="0750F13E" w14:textId="77777777" w:rsidR="00CE487B" w:rsidRPr="00B55297" w:rsidRDefault="00CE487B" w:rsidP="005F2270">
      <w:pPr>
        <w:rPr>
          <w:rFonts w:eastAsiaTheme="majorEastAsia"/>
          <w:color w:val="000000" w:themeColor="text1"/>
        </w:rPr>
      </w:pPr>
    </w:p>
    <w:p w14:paraId="47438A10" w14:textId="30F9D3A1" w:rsidR="005F2270" w:rsidRPr="00B55297" w:rsidRDefault="00304A69" w:rsidP="005F2270">
      <w:pPr>
        <w:rPr>
          <w:rFonts w:eastAsiaTheme="majorEastAsia"/>
          <w:color w:val="000000" w:themeColor="text1"/>
        </w:rPr>
      </w:pPr>
      <w:r w:rsidRPr="00D82C4A">
        <w:rPr>
          <w:rFonts w:eastAsiaTheme="majorEastAsia"/>
          <w:b/>
          <w:noProof/>
        </w:rPr>
        <mc:AlternateContent>
          <mc:Choice Requires="wps">
            <w:drawing>
              <wp:anchor distT="0" distB="0" distL="114300" distR="114300" simplePos="0" relativeHeight="251665408" behindDoc="0" locked="0" layoutInCell="1" allowOverlap="1" wp14:anchorId="7463EB58" wp14:editId="5974D2DB">
                <wp:simplePos x="0" y="0"/>
                <wp:positionH relativeFrom="margin">
                  <wp:align>left</wp:align>
                </wp:positionH>
                <wp:positionV relativeFrom="paragraph">
                  <wp:posOffset>300272</wp:posOffset>
                </wp:positionV>
                <wp:extent cx="5862955" cy="962108"/>
                <wp:effectExtent l="0" t="0" r="23495" b="28575"/>
                <wp:wrapNone/>
                <wp:docPr id="16" name="Rektangel 16"/>
                <wp:cNvGraphicFramePr/>
                <a:graphic xmlns:a="http://schemas.openxmlformats.org/drawingml/2006/main">
                  <a:graphicData uri="http://schemas.microsoft.com/office/word/2010/wordprocessingShape">
                    <wps:wsp>
                      <wps:cNvSpPr/>
                      <wps:spPr>
                        <a:xfrm>
                          <a:off x="0" y="0"/>
                          <a:ext cx="5862955" cy="962108"/>
                        </a:xfrm>
                        <a:prstGeom prst="rect">
                          <a:avLst/>
                        </a:prstGeom>
                        <a:no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11CF37" id="Rektangel 16" o:spid="_x0000_s1026" style="position:absolute;margin-left:0;margin-top:23.65pt;width:461.65pt;height:75.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" filled="f" strokecolor="#a5a5a5 [2092]" strokeweight="1pt">
                <w10:wrap anchorx="margin"/>
              </v:rect>
            </w:pict>
          </mc:Fallback>
        </mc:AlternateContent>
      </w:r>
      <w:r w:rsidR="005F2270" w:rsidRPr="00D82C4A">
        <w:rPr>
          <w:rFonts w:eastAsiaTheme="majorEastAsia"/>
          <w:b/>
          <w:color w:val="000000" w:themeColor="text1"/>
        </w:rPr>
        <w:t xml:space="preserve">Størrelsen på </w:t>
      </w:r>
      <w:r w:rsidR="009E5C9A" w:rsidRPr="00D82C4A">
        <w:rPr>
          <w:rFonts w:eastAsiaTheme="majorEastAsia"/>
          <w:b/>
          <w:color w:val="000000" w:themeColor="text1"/>
        </w:rPr>
        <w:t>egenbetalingen/</w:t>
      </w:r>
      <w:r w:rsidR="005F2270" w:rsidRPr="00D82C4A">
        <w:rPr>
          <w:rFonts w:eastAsiaTheme="majorEastAsia"/>
          <w:b/>
          <w:color w:val="000000" w:themeColor="text1"/>
        </w:rPr>
        <w:t>studentbetalingen</w:t>
      </w:r>
      <w:r w:rsidR="005F2270" w:rsidRPr="00B55297">
        <w:rPr>
          <w:rFonts w:eastAsiaTheme="majorEastAsia"/>
          <w:color w:val="000000" w:themeColor="text1"/>
        </w:rPr>
        <w:t xml:space="preserve"> </w:t>
      </w:r>
      <w:r w:rsidR="009E5C9A" w:rsidRPr="00B55297">
        <w:rPr>
          <w:rFonts w:eastAsiaTheme="majorEastAsia"/>
          <w:color w:val="000000" w:themeColor="text1"/>
        </w:rPr>
        <w:t>fremkommer av</w:t>
      </w:r>
      <w:r w:rsidR="005F2270" w:rsidRPr="00B55297">
        <w:rPr>
          <w:rFonts w:eastAsiaTheme="majorEastAsia"/>
          <w:color w:val="000000" w:themeColor="text1"/>
        </w:rPr>
        <w:t xml:space="preserve"> </w:t>
      </w:r>
      <w:r w:rsidR="00795D84">
        <w:rPr>
          <w:rFonts w:eastAsiaTheme="majorEastAsia"/>
          <w:color w:val="000000" w:themeColor="text1"/>
        </w:rPr>
        <w:t>egenbetalingsforskriften:</w:t>
      </w:r>
    </w:p>
    <w:p w14:paraId="0514624B" w14:textId="77777777" w:rsidR="005F2270" w:rsidRPr="00B55297" w:rsidRDefault="005F2270" w:rsidP="00CE487B">
      <w:pPr>
        <w:ind w:left="708"/>
        <w:rPr>
          <w:rFonts w:eastAsiaTheme="majorEastAsia"/>
          <w:color w:val="000000" w:themeColor="text1"/>
        </w:rPr>
      </w:pPr>
      <w:r w:rsidRPr="00B55297">
        <w:rPr>
          <w:rFonts w:eastAsiaTheme="majorEastAsia"/>
          <w:color w:val="000000" w:themeColor="text1"/>
        </w:rPr>
        <w:t>§ 3-2 (2):</w:t>
      </w:r>
    </w:p>
    <w:p w14:paraId="7A0B8433" w14:textId="77777777" w:rsidR="005F2270" w:rsidRPr="00B55297" w:rsidRDefault="005F2270" w:rsidP="00CE487B">
      <w:pPr>
        <w:ind w:left="708"/>
        <w:rPr>
          <w:rFonts w:eastAsiaTheme="majorEastAsia"/>
          <w:i/>
          <w:color w:val="000000" w:themeColor="text1"/>
        </w:rPr>
      </w:pPr>
      <w:r w:rsidRPr="00B55297">
        <w:rPr>
          <w:rFonts w:eastAsiaTheme="majorEastAsia"/>
          <w:i/>
          <w:color w:val="000000" w:themeColor="text1"/>
        </w:rPr>
        <w:t xml:space="preserve">Egenbetalingen kan dekke kostnadene </w:t>
      </w:r>
      <w:r w:rsidRPr="00B55297">
        <w:rPr>
          <w:rFonts w:eastAsiaTheme="majorEastAsia"/>
          <w:b/>
          <w:i/>
          <w:color w:val="000000" w:themeColor="text1"/>
        </w:rPr>
        <w:t>fullt ut</w:t>
      </w:r>
      <w:r w:rsidRPr="00B55297">
        <w:rPr>
          <w:rFonts w:eastAsiaTheme="majorEastAsia"/>
          <w:i/>
          <w:color w:val="000000" w:themeColor="text1"/>
        </w:rPr>
        <w:t xml:space="preserve">, eller </w:t>
      </w:r>
      <w:r w:rsidRPr="00B55297">
        <w:rPr>
          <w:rFonts w:eastAsiaTheme="majorEastAsia"/>
          <w:b/>
          <w:i/>
          <w:color w:val="000000" w:themeColor="text1"/>
        </w:rPr>
        <w:t>delvis</w:t>
      </w:r>
      <w:r w:rsidRPr="00B55297">
        <w:rPr>
          <w:rFonts w:eastAsiaTheme="majorEastAsia"/>
          <w:i/>
          <w:color w:val="000000" w:themeColor="text1"/>
        </w:rPr>
        <w:t xml:space="preserve"> ved at institusjonen finansierer deler av kostnadene.</w:t>
      </w:r>
    </w:p>
    <w:p w14:paraId="435F990A" w14:textId="77777777" w:rsidR="000C1577" w:rsidRDefault="000C1577" w:rsidP="00402B71">
      <w:pPr>
        <w:rPr>
          <w:rFonts w:eastAsiaTheme="majorEastAsia"/>
          <w:color w:val="000000" w:themeColor="text1"/>
        </w:rPr>
      </w:pPr>
    </w:p>
    <w:p w14:paraId="73F124A8" w14:textId="644D38A6" w:rsidR="00A02480" w:rsidRDefault="00402B71" w:rsidP="00402B71">
      <w:pPr>
        <w:rPr>
          <w:rFonts w:eastAsiaTheme="majorEastAsia"/>
          <w:color w:val="000000" w:themeColor="text1"/>
        </w:rPr>
      </w:pPr>
      <w:r>
        <w:rPr>
          <w:rFonts w:eastAsiaTheme="majorEastAsia"/>
          <w:color w:val="000000" w:themeColor="text1"/>
        </w:rPr>
        <w:t>Institusjonen vil ha anledning til å kreve egenbetaling</w:t>
      </w:r>
      <w:r w:rsidR="00D82C4A">
        <w:rPr>
          <w:rFonts w:eastAsiaTheme="majorEastAsia"/>
          <w:color w:val="000000" w:themeColor="text1"/>
        </w:rPr>
        <w:t xml:space="preserve"> </w:t>
      </w:r>
      <w:r>
        <w:rPr>
          <w:rFonts w:eastAsiaTheme="majorEastAsia"/>
          <w:color w:val="000000" w:themeColor="text1"/>
        </w:rPr>
        <w:t xml:space="preserve">av kostnadene for </w:t>
      </w:r>
      <w:r w:rsidR="005B7FB6">
        <w:rPr>
          <w:rFonts w:eastAsiaTheme="majorEastAsia"/>
          <w:color w:val="000000" w:themeColor="text1"/>
        </w:rPr>
        <w:t xml:space="preserve">unntakene i § 3-2 (1). </w:t>
      </w:r>
    </w:p>
    <w:p w14:paraId="3D2422B7" w14:textId="2B4E3FC5" w:rsidR="00D82C4A" w:rsidRDefault="00D82C4A" w:rsidP="00402B71">
      <w:pPr>
        <w:rPr>
          <w:rFonts w:eastAsiaTheme="majorEastAsia"/>
          <w:color w:val="000000" w:themeColor="text1"/>
        </w:rPr>
      </w:pPr>
      <w:r>
        <w:rPr>
          <w:rFonts w:eastAsiaTheme="majorEastAsia"/>
          <w:color w:val="000000" w:themeColor="text1"/>
        </w:rPr>
        <w:t xml:space="preserve">Før man vurderer </w:t>
      </w:r>
      <w:r w:rsidRPr="00D428C5">
        <w:rPr>
          <w:rFonts w:eastAsiaTheme="majorEastAsia"/>
          <w:i/>
          <w:color w:val="000000" w:themeColor="text1"/>
        </w:rPr>
        <w:t>størrelsen</w:t>
      </w:r>
      <w:r>
        <w:rPr>
          <w:rFonts w:eastAsiaTheme="majorEastAsia"/>
          <w:color w:val="000000" w:themeColor="text1"/>
        </w:rPr>
        <w:t xml:space="preserve"> på egenbetalingen, må institusjonen vurder</w:t>
      </w:r>
      <w:r w:rsidR="000C1577">
        <w:rPr>
          <w:rFonts w:eastAsiaTheme="majorEastAsia"/>
          <w:color w:val="000000" w:themeColor="text1"/>
        </w:rPr>
        <w:t>e</w:t>
      </w:r>
      <w:r>
        <w:rPr>
          <w:rFonts w:eastAsiaTheme="majorEastAsia"/>
          <w:color w:val="000000" w:themeColor="text1"/>
        </w:rPr>
        <w:t xml:space="preserve"> om aktiviteten faller inn under </w:t>
      </w:r>
      <w:r w:rsidRPr="00A02480">
        <w:rPr>
          <w:rFonts w:eastAsiaTheme="majorEastAsia"/>
          <w:i/>
          <w:color w:val="000000" w:themeColor="text1"/>
        </w:rPr>
        <w:t xml:space="preserve">ikke-økonomisk </w:t>
      </w:r>
      <w:r>
        <w:rPr>
          <w:rFonts w:eastAsiaTheme="majorEastAsia"/>
          <w:color w:val="000000" w:themeColor="text1"/>
        </w:rPr>
        <w:t xml:space="preserve">aktivitet eller </w:t>
      </w:r>
      <w:r w:rsidRPr="00A02480">
        <w:rPr>
          <w:rFonts w:eastAsiaTheme="majorEastAsia"/>
          <w:i/>
          <w:color w:val="000000" w:themeColor="text1"/>
        </w:rPr>
        <w:t>økonomisk</w:t>
      </w:r>
      <w:r>
        <w:rPr>
          <w:rFonts w:eastAsiaTheme="majorEastAsia"/>
          <w:color w:val="000000" w:themeColor="text1"/>
        </w:rPr>
        <w:t xml:space="preserve"> aktivitet. </w:t>
      </w:r>
    </w:p>
    <w:p w14:paraId="63A5A5F4" w14:textId="448F6429" w:rsidR="0013183E" w:rsidRDefault="0013183E" w:rsidP="28257F58">
      <w:pPr>
        <w:rPr>
          <w:rFonts w:asciiTheme="majorEastAsia" w:eastAsiaTheme="majorEastAsia" w:hAnsiTheme="majorEastAsia" w:cstheme="majorEastAsia"/>
          <w:color w:val="000000" w:themeColor="text1"/>
        </w:rPr>
      </w:pPr>
      <w:r w:rsidRPr="7625745A">
        <w:rPr>
          <w:rFonts w:asciiTheme="majorEastAsia" w:eastAsiaTheme="majorEastAsia" w:hAnsiTheme="majorEastAsia" w:cstheme="majorEastAsia"/>
          <w:b/>
          <w:bCs/>
          <w:color w:val="000000" w:themeColor="text1"/>
        </w:rPr>
        <w:t>Unntak a</w:t>
      </w:r>
      <w:r w:rsidR="000C1577">
        <w:rPr>
          <w:rFonts w:asciiTheme="majorEastAsia" w:eastAsiaTheme="majorEastAsia" w:hAnsiTheme="majorEastAsia" w:cstheme="majorEastAsia"/>
          <w:color w:val="000000" w:themeColor="text1"/>
        </w:rPr>
        <w:t>,</w:t>
      </w:r>
      <w:r>
        <w:rPr>
          <w:rFonts w:asciiTheme="majorEastAsia" w:eastAsiaTheme="majorEastAsia" w:hAnsiTheme="majorEastAsia" w:cstheme="majorEastAsia"/>
          <w:color w:val="000000" w:themeColor="text1"/>
        </w:rPr>
        <w:t xml:space="preserve"> kurs (som ikke er studiepoenggivende)</w:t>
      </w:r>
      <w:r w:rsidR="00A02480">
        <w:rPr>
          <w:rFonts w:asciiTheme="majorEastAsia" w:eastAsiaTheme="majorEastAsia" w:hAnsiTheme="majorEastAsia" w:cstheme="majorEastAsia"/>
          <w:color w:val="000000" w:themeColor="text1"/>
        </w:rPr>
        <w:t>,</w:t>
      </w:r>
      <w:r>
        <w:rPr>
          <w:rFonts w:asciiTheme="majorEastAsia" w:eastAsiaTheme="majorEastAsia" w:hAnsiTheme="majorEastAsia" w:cstheme="majorEastAsia"/>
          <w:color w:val="000000" w:themeColor="text1"/>
        </w:rPr>
        <w:t xml:space="preserve"> vil være </w:t>
      </w:r>
      <w:r w:rsidRPr="46D54BE2">
        <w:rPr>
          <w:rFonts w:asciiTheme="majorEastAsia" w:eastAsiaTheme="majorEastAsia" w:hAnsiTheme="majorEastAsia" w:cstheme="majorEastAsia"/>
          <w:i/>
          <w:iCs/>
          <w:color w:val="000000" w:themeColor="text1"/>
        </w:rPr>
        <w:t xml:space="preserve">økonomisk aktivitet </w:t>
      </w:r>
      <w:r w:rsidR="000C1577" w:rsidRPr="46D54BE2">
        <w:rPr>
          <w:rFonts w:asciiTheme="majorEastAsia" w:eastAsiaTheme="majorEastAsia" w:hAnsiTheme="majorEastAsia" w:cstheme="majorEastAsia"/>
          <w:i/>
          <w:iCs/>
          <w:color w:val="000000" w:themeColor="text1"/>
        </w:rPr>
        <w:t>hvis</w:t>
      </w:r>
      <w:r w:rsidRPr="46D54BE2">
        <w:rPr>
          <w:rFonts w:asciiTheme="majorEastAsia" w:eastAsiaTheme="majorEastAsia" w:hAnsiTheme="majorEastAsia" w:cstheme="majorEastAsia"/>
          <w:i/>
          <w:iCs/>
          <w:color w:val="000000" w:themeColor="text1"/>
        </w:rPr>
        <w:t xml:space="preserve"> det tas betaling</w:t>
      </w:r>
      <w:r w:rsidR="000C1577">
        <w:rPr>
          <w:rFonts w:asciiTheme="majorEastAsia" w:eastAsiaTheme="majorEastAsia" w:hAnsiTheme="majorEastAsia" w:cstheme="majorEastAsia"/>
          <w:color w:val="000000" w:themeColor="text1"/>
        </w:rPr>
        <w:t xml:space="preserve"> </w:t>
      </w:r>
      <w:r w:rsidR="000C1577" w:rsidRPr="46D54BE2">
        <w:rPr>
          <w:rFonts w:asciiTheme="majorEastAsia" w:eastAsiaTheme="majorEastAsia" w:hAnsiTheme="majorEastAsia" w:cstheme="majorEastAsia"/>
          <w:i/>
          <w:iCs/>
          <w:color w:val="000000" w:themeColor="text1"/>
        </w:rPr>
        <w:t>for kurset</w:t>
      </w:r>
      <w:r>
        <w:rPr>
          <w:rFonts w:asciiTheme="majorEastAsia" w:eastAsiaTheme="majorEastAsia" w:hAnsiTheme="majorEastAsia" w:cstheme="majorEastAsia"/>
          <w:color w:val="000000" w:themeColor="text1"/>
        </w:rPr>
        <w:t>. Slike tjenester kan</w:t>
      </w:r>
      <w:r w:rsidR="000C1577">
        <w:rPr>
          <w:rFonts w:asciiTheme="majorEastAsia" w:eastAsiaTheme="majorEastAsia" w:hAnsiTheme="majorEastAsia" w:cstheme="majorEastAsia"/>
          <w:color w:val="000000" w:themeColor="text1"/>
        </w:rPr>
        <w:t xml:space="preserve"> (potensielt)</w:t>
      </w:r>
      <w:r>
        <w:rPr>
          <w:rFonts w:asciiTheme="majorEastAsia" w:eastAsiaTheme="majorEastAsia" w:hAnsiTheme="majorEastAsia" w:cstheme="majorEastAsia"/>
          <w:color w:val="000000" w:themeColor="text1"/>
        </w:rPr>
        <w:t xml:space="preserve"> tilbys av andre aktører utenfor sektoren. For en nærmere utredning av utdanningstjenester, se utredningen «</w:t>
      </w:r>
      <w:r w:rsidRPr="0013183E">
        <w:rPr>
          <w:rFonts w:asciiTheme="majorEastAsia" w:eastAsiaTheme="majorEastAsia" w:hAnsiTheme="majorEastAsia" w:cstheme="majorEastAsia"/>
          <w:color w:val="000000" w:themeColor="text1"/>
        </w:rPr>
        <w:t>Like konkurransevilkår for offentlige og private aktører</w:t>
      </w:r>
      <w:r>
        <w:rPr>
          <w:rFonts w:asciiTheme="majorEastAsia" w:eastAsiaTheme="majorEastAsia" w:hAnsiTheme="majorEastAsia" w:cstheme="majorEastAsia"/>
          <w:color w:val="000000" w:themeColor="text1"/>
        </w:rPr>
        <w:t>»,</w:t>
      </w:r>
      <w:r w:rsidRPr="0013183E">
        <w:rPr>
          <w:rFonts w:asciiTheme="majorEastAsia" w:eastAsiaTheme="majorEastAsia" w:hAnsiTheme="majorEastAsia" w:cstheme="majorEastAsia"/>
          <w:color w:val="000000" w:themeColor="text1"/>
        </w:rPr>
        <w:t xml:space="preserve"> </w:t>
      </w:r>
      <w:r>
        <w:rPr>
          <w:rFonts w:asciiTheme="majorEastAsia" w:eastAsiaTheme="majorEastAsia" w:hAnsiTheme="majorEastAsia" w:cstheme="majorEastAsia"/>
          <w:color w:val="000000" w:themeColor="text1"/>
        </w:rPr>
        <w:t>kapittel 5.3.3.</w:t>
      </w:r>
      <w:r>
        <w:rPr>
          <w:rStyle w:val="Fotnotereferanse"/>
          <w:rFonts w:asciiTheme="majorEastAsia" w:eastAsiaTheme="majorEastAsia" w:hAnsiTheme="majorEastAsia" w:cstheme="majorEastAsia"/>
          <w:color w:val="000000" w:themeColor="text1"/>
        </w:rPr>
        <w:footnoteReference w:id="26"/>
      </w:r>
      <w:r w:rsidR="00A02480">
        <w:rPr>
          <w:rFonts w:asciiTheme="majorEastAsia" w:eastAsiaTheme="majorEastAsia" w:hAnsiTheme="majorEastAsia" w:cstheme="majorEastAsia"/>
          <w:color w:val="000000" w:themeColor="text1"/>
        </w:rPr>
        <w:t xml:space="preserve"> </w:t>
      </w:r>
    </w:p>
    <w:p w14:paraId="5E6D0A6E" w14:textId="1561B8E4" w:rsidR="000C1577" w:rsidRDefault="000C1577" w:rsidP="00402B71">
      <w:pPr>
        <w:rPr>
          <w:rFonts w:eastAsiaTheme="majorEastAsia"/>
          <w:color w:val="000000" w:themeColor="text1"/>
        </w:rPr>
      </w:pPr>
      <w:r w:rsidRPr="00A02480">
        <w:rPr>
          <w:rFonts w:eastAsiaTheme="majorEastAsia"/>
          <w:b/>
          <w:color w:val="000000" w:themeColor="text1"/>
        </w:rPr>
        <w:t>Unntak d</w:t>
      </w:r>
      <w:r>
        <w:rPr>
          <w:rFonts w:eastAsiaTheme="majorEastAsia"/>
          <w:color w:val="000000" w:themeColor="text1"/>
        </w:rPr>
        <w:t xml:space="preserve"> vil tilsvarende alltid være </w:t>
      </w:r>
      <w:r w:rsidRPr="00545B70">
        <w:rPr>
          <w:rFonts w:eastAsiaTheme="majorEastAsia"/>
          <w:i/>
          <w:color w:val="000000" w:themeColor="text1"/>
        </w:rPr>
        <w:t>økonomisk aktivitet</w:t>
      </w:r>
      <w:r>
        <w:rPr>
          <w:rFonts w:eastAsiaTheme="majorEastAsia"/>
          <w:color w:val="000000" w:themeColor="text1"/>
        </w:rPr>
        <w:t xml:space="preserve"> fordi </w:t>
      </w:r>
      <w:r w:rsidR="00A02480">
        <w:rPr>
          <w:rFonts w:eastAsiaTheme="majorEastAsia"/>
          <w:color w:val="000000" w:themeColor="text1"/>
        </w:rPr>
        <w:t xml:space="preserve">det ikke er anledning til å </w:t>
      </w:r>
      <w:r>
        <w:rPr>
          <w:rFonts w:eastAsiaTheme="majorEastAsia"/>
          <w:color w:val="000000" w:themeColor="text1"/>
        </w:rPr>
        <w:t xml:space="preserve">blande ikke-økonomisk og økonomisk </w:t>
      </w:r>
      <w:r w:rsidR="00A02480">
        <w:rPr>
          <w:rFonts w:eastAsiaTheme="majorEastAsia"/>
          <w:color w:val="000000" w:themeColor="text1"/>
        </w:rPr>
        <w:t>aktivitet.</w:t>
      </w:r>
    </w:p>
    <w:p w14:paraId="493B80E6" w14:textId="3E4DFEAB" w:rsidR="006F1845" w:rsidRDefault="000C1577" w:rsidP="00E76F45">
      <w:pPr>
        <w:rPr>
          <w:rFonts w:eastAsiaTheme="majorEastAsia"/>
          <w:i/>
          <w:color w:val="000000" w:themeColor="text1"/>
        </w:rPr>
      </w:pPr>
      <w:r w:rsidRPr="00A02480">
        <w:rPr>
          <w:rFonts w:eastAsiaTheme="majorEastAsia"/>
          <w:b/>
          <w:color w:val="000000" w:themeColor="text1"/>
        </w:rPr>
        <w:lastRenderedPageBreak/>
        <w:t xml:space="preserve">Unntak b </w:t>
      </w:r>
      <w:r w:rsidRPr="00A02480">
        <w:rPr>
          <w:rFonts w:eastAsiaTheme="majorEastAsia"/>
          <w:color w:val="000000" w:themeColor="text1"/>
        </w:rPr>
        <w:t xml:space="preserve">og </w:t>
      </w:r>
      <w:r w:rsidRPr="00A02480">
        <w:rPr>
          <w:rFonts w:eastAsiaTheme="majorEastAsia"/>
          <w:b/>
          <w:color w:val="000000" w:themeColor="text1"/>
        </w:rPr>
        <w:t>c</w:t>
      </w:r>
      <w:r>
        <w:rPr>
          <w:rFonts w:eastAsiaTheme="majorEastAsia"/>
          <w:color w:val="000000" w:themeColor="text1"/>
        </w:rPr>
        <w:t xml:space="preserve"> må vurderes utfra </w:t>
      </w:r>
      <w:r w:rsidRPr="00A02480">
        <w:rPr>
          <w:rFonts w:eastAsiaTheme="majorEastAsia"/>
          <w:b/>
          <w:color w:val="000000" w:themeColor="text1"/>
        </w:rPr>
        <w:t>størrelsen på egenbetalingen</w:t>
      </w:r>
      <w:r w:rsidR="00A02480">
        <w:rPr>
          <w:rFonts w:eastAsiaTheme="majorEastAsia"/>
          <w:b/>
          <w:color w:val="000000" w:themeColor="text1"/>
        </w:rPr>
        <w:t xml:space="preserve">. </w:t>
      </w:r>
      <w:r>
        <w:rPr>
          <w:rFonts w:eastAsiaTheme="majorEastAsia"/>
          <w:color w:val="000000" w:themeColor="text1"/>
        </w:rPr>
        <w:t xml:space="preserve">Størrelsen på egenbetalingen vil avgjøre om det er </w:t>
      </w:r>
      <w:r w:rsidRPr="00E76F45">
        <w:rPr>
          <w:rFonts w:eastAsiaTheme="majorEastAsia"/>
          <w:i/>
          <w:color w:val="000000" w:themeColor="text1"/>
        </w:rPr>
        <w:t>økonomisk</w:t>
      </w:r>
      <w:r>
        <w:rPr>
          <w:rFonts w:eastAsiaTheme="majorEastAsia"/>
          <w:color w:val="000000" w:themeColor="text1"/>
        </w:rPr>
        <w:t xml:space="preserve"> eller </w:t>
      </w:r>
      <w:r w:rsidRPr="00E76F45">
        <w:rPr>
          <w:rFonts w:eastAsiaTheme="majorEastAsia"/>
          <w:i/>
          <w:color w:val="000000" w:themeColor="text1"/>
        </w:rPr>
        <w:t>ikke-økonomisk</w:t>
      </w:r>
      <w:r>
        <w:rPr>
          <w:rFonts w:eastAsiaTheme="majorEastAsia"/>
          <w:color w:val="000000" w:themeColor="text1"/>
        </w:rPr>
        <w:t xml:space="preserve"> aktivitet. Hvis instit</w:t>
      </w:r>
      <w:r w:rsidR="00AD4F49">
        <w:rPr>
          <w:rFonts w:eastAsiaTheme="majorEastAsia"/>
          <w:color w:val="000000" w:themeColor="text1"/>
        </w:rPr>
        <w:t>usjonen dekker hovedparten (minst</w:t>
      </w:r>
      <w:r>
        <w:rPr>
          <w:rFonts w:eastAsiaTheme="majorEastAsia"/>
          <w:color w:val="000000" w:themeColor="text1"/>
        </w:rPr>
        <w:t xml:space="preserve"> 51 %) av kostnadene</w:t>
      </w:r>
      <w:r w:rsidR="007935B0">
        <w:rPr>
          <w:rFonts w:eastAsiaTheme="majorEastAsia"/>
          <w:color w:val="000000" w:themeColor="text1"/>
        </w:rPr>
        <w:t xml:space="preserve"> gjennom egenfinansiering</w:t>
      </w:r>
      <w:r>
        <w:rPr>
          <w:rFonts w:eastAsiaTheme="majorEastAsia"/>
          <w:color w:val="000000" w:themeColor="text1"/>
        </w:rPr>
        <w:t xml:space="preserve">, vil aktiviteten være innenfor definisjonen av </w:t>
      </w:r>
      <w:r w:rsidRPr="00E76F45">
        <w:rPr>
          <w:rFonts w:eastAsiaTheme="majorEastAsia"/>
          <w:i/>
          <w:color w:val="000000" w:themeColor="text1"/>
        </w:rPr>
        <w:t>ikke-økonomisk</w:t>
      </w:r>
      <w:r>
        <w:rPr>
          <w:rFonts w:eastAsiaTheme="majorEastAsia"/>
          <w:color w:val="000000" w:themeColor="text1"/>
        </w:rPr>
        <w:t xml:space="preserve"> aktivitet. Hvis egenbetalingen</w:t>
      </w:r>
      <w:r w:rsidR="00E76F45">
        <w:rPr>
          <w:rFonts w:eastAsiaTheme="majorEastAsia"/>
          <w:color w:val="000000" w:themeColor="text1"/>
        </w:rPr>
        <w:t xml:space="preserve"> derimot</w:t>
      </w:r>
      <w:r>
        <w:rPr>
          <w:rFonts w:eastAsiaTheme="majorEastAsia"/>
          <w:color w:val="000000" w:themeColor="text1"/>
        </w:rPr>
        <w:t xml:space="preserve"> </w:t>
      </w:r>
      <w:r w:rsidRPr="00A02480">
        <w:rPr>
          <w:rFonts w:eastAsiaTheme="majorEastAsia"/>
          <w:i/>
          <w:color w:val="000000" w:themeColor="text1"/>
        </w:rPr>
        <w:t xml:space="preserve">overstiger </w:t>
      </w:r>
      <w:r w:rsidR="00D428C5">
        <w:rPr>
          <w:rFonts w:eastAsiaTheme="majorEastAsia"/>
          <w:i/>
          <w:color w:val="000000" w:themeColor="text1"/>
        </w:rPr>
        <w:t xml:space="preserve">  </w:t>
      </w:r>
      <w:r w:rsidRPr="00A02480">
        <w:rPr>
          <w:rFonts w:eastAsiaTheme="majorEastAsia"/>
          <w:i/>
          <w:color w:val="000000" w:themeColor="text1"/>
        </w:rPr>
        <w:t>49 %</w:t>
      </w:r>
      <w:r w:rsidR="00A02480">
        <w:rPr>
          <w:rFonts w:eastAsiaTheme="majorEastAsia"/>
          <w:color w:val="000000" w:themeColor="text1"/>
        </w:rPr>
        <w:t>,</w:t>
      </w:r>
      <w:r>
        <w:rPr>
          <w:rFonts w:eastAsiaTheme="majorEastAsia"/>
          <w:color w:val="000000" w:themeColor="text1"/>
        </w:rPr>
        <w:t xml:space="preserve"> vil aktiviteten </w:t>
      </w:r>
      <w:r w:rsidR="00E76F45">
        <w:rPr>
          <w:rFonts w:eastAsiaTheme="majorEastAsia"/>
          <w:color w:val="000000" w:themeColor="text1"/>
        </w:rPr>
        <w:t>anses som</w:t>
      </w:r>
      <w:r>
        <w:rPr>
          <w:rFonts w:eastAsiaTheme="majorEastAsia"/>
          <w:color w:val="000000" w:themeColor="text1"/>
        </w:rPr>
        <w:t xml:space="preserve"> </w:t>
      </w:r>
      <w:r w:rsidRPr="00E76F45">
        <w:rPr>
          <w:rFonts w:eastAsiaTheme="majorEastAsia"/>
          <w:i/>
          <w:color w:val="000000" w:themeColor="text1"/>
        </w:rPr>
        <w:t>økonomisk aktivitet</w:t>
      </w:r>
      <w:r w:rsidR="00E76F45">
        <w:rPr>
          <w:rFonts w:eastAsiaTheme="majorEastAsia"/>
          <w:i/>
          <w:color w:val="000000" w:themeColor="text1"/>
        </w:rPr>
        <w:t>.</w:t>
      </w:r>
      <w:r w:rsidR="005242EE">
        <w:rPr>
          <w:rFonts w:eastAsiaTheme="majorEastAsia"/>
          <w:i/>
          <w:color w:val="000000" w:themeColor="text1"/>
        </w:rPr>
        <w:t xml:space="preserve"> </w:t>
      </w:r>
    </w:p>
    <w:p w14:paraId="794B5649" w14:textId="7A382DEE" w:rsidR="00E76F45" w:rsidRDefault="00E76F45" w:rsidP="28257F58">
      <w:pPr>
        <w:rPr>
          <w:rFonts w:asciiTheme="majorEastAsia" w:eastAsiaTheme="majorEastAsia" w:hAnsiTheme="majorEastAsia" w:cstheme="majorEastAsia"/>
          <w:color w:val="000000" w:themeColor="text1"/>
        </w:rPr>
      </w:pPr>
      <w:r>
        <w:rPr>
          <w:rFonts w:asciiTheme="majorEastAsia" w:eastAsiaTheme="majorEastAsia" w:hAnsiTheme="majorEastAsia" w:cstheme="majorEastAsia"/>
          <w:color w:val="000000" w:themeColor="text1"/>
        </w:rPr>
        <w:t xml:space="preserve">For </w:t>
      </w:r>
      <w:r w:rsidRPr="006A0F73">
        <w:rPr>
          <w:rFonts w:asciiTheme="majorEastAsia" w:eastAsiaTheme="majorEastAsia" w:hAnsiTheme="majorEastAsia" w:cstheme="majorEastAsia"/>
          <w:b/>
          <w:bCs/>
          <w:i/>
          <w:iCs/>
          <w:color w:val="000000" w:themeColor="text1"/>
        </w:rPr>
        <w:t>økonomisk aktivitet</w:t>
      </w:r>
      <w:r>
        <w:rPr>
          <w:rFonts w:asciiTheme="majorEastAsia" w:eastAsiaTheme="majorEastAsia" w:hAnsiTheme="majorEastAsia" w:cstheme="majorEastAsia"/>
          <w:color w:val="000000" w:themeColor="text1"/>
        </w:rPr>
        <w:t xml:space="preserve"> skal egenbetalingen</w:t>
      </w:r>
      <w:r w:rsidR="00681693" w:rsidRPr="00681693">
        <w:rPr>
          <w:rFonts w:asciiTheme="majorEastAsia" w:eastAsiaTheme="majorEastAsia" w:hAnsiTheme="majorEastAsia" w:cstheme="majorEastAsia"/>
          <w:color w:val="000000" w:themeColor="text1"/>
        </w:rPr>
        <w:t xml:space="preserve"> </w:t>
      </w:r>
      <w:r w:rsidR="007A10E6">
        <w:rPr>
          <w:rFonts w:asciiTheme="majorEastAsia" w:eastAsiaTheme="majorEastAsia" w:hAnsiTheme="majorEastAsia" w:cstheme="majorEastAsia"/>
          <w:color w:val="000000" w:themeColor="text1"/>
        </w:rPr>
        <w:t xml:space="preserve">alltid </w:t>
      </w:r>
      <w:r w:rsidR="00402B71" w:rsidRPr="00681693">
        <w:rPr>
          <w:rFonts w:asciiTheme="majorEastAsia" w:eastAsiaTheme="majorEastAsia" w:hAnsiTheme="majorEastAsia" w:cstheme="majorEastAsia"/>
          <w:color w:val="000000" w:themeColor="text1"/>
        </w:rPr>
        <w:t>dekke</w:t>
      </w:r>
      <w:r>
        <w:rPr>
          <w:rFonts w:asciiTheme="majorEastAsia" w:eastAsiaTheme="majorEastAsia" w:hAnsiTheme="majorEastAsia" w:cstheme="majorEastAsia"/>
          <w:color w:val="000000" w:themeColor="text1"/>
        </w:rPr>
        <w:t xml:space="preserve"> </w:t>
      </w:r>
      <w:r w:rsidR="00402B71" w:rsidRPr="00681693">
        <w:rPr>
          <w:rFonts w:asciiTheme="majorEastAsia" w:eastAsiaTheme="majorEastAsia" w:hAnsiTheme="majorEastAsia" w:cstheme="majorEastAsia"/>
          <w:color w:val="000000" w:themeColor="text1"/>
        </w:rPr>
        <w:t>kostnadene</w:t>
      </w:r>
      <w:r w:rsidR="00402B71" w:rsidRPr="262002DF">
        <w:rPr>
          <w:rFonts w:asciiTheme="majorEastAsia" w:eastAsiaTheme="majorEastAsia" w:hAnsiTheme="majorEastAsia" w:cstheme="majorEastAsia"/>
          <w:i/>
          <w:iCs/>
          <w:color w:val="000000" w:themeColor="text1"/>
        </w:rPr>
        <w:t xml:space="preserve"> fullt ut</w:t>
      </w:r>
      <w:r w:rsidR="00F4631B" w:rsidRPr="262002DF">
        <w:rPr>
          <w:rFonts w:asciiTheme="majorEastAsia" w:eastAsiaTheme="majorEastAsia" w:hAnsiTheme="majorEastAsia" w:cstheme="majorEastAsia"/>
          <w:i/>
          <w:iCs/>
          <w:color w:val="000000" w:themeColor="text1"/>
        </w:rPr>
        <w:t xml:space="preserve"> </w:t>
      </w:r>
      <w:r w:rsidR="00F4631B">
        <w:rPr>
          <w:rFonts w:asciiTheme="majorEastAsia" w:eastAsiaTheme="majorEastAsia" w:hAnsiTheme="majorEastAsia" w:cstheme="majorEastAsia"/>
          <w:color w:val="000000" w:themeColor="text1"/>
        </w:rPr>
        <w:t>(</w:t>
      </w:r>
      <w:r w:rsidR="00D82C4A">
        <w:rPr>
          <w:rFonts w:asciiTheme="majorEastAsia" w:eastAsiaTheme="majorEastAsia" w:hAnsiTheme="majorEastAsia" w:cstheme="majorEastAsia"/>
          <w:color w:val="000000" w:themeColor="text1"/>
        </w:rPr>
        <w:t xml:space="preserve">dvs. </w:t>
      </w:r>
      <w:r w:rsidR="00F4631B">
        <w:rPr>
          <w:rFonts w:asciiTheme="majorEastAsia" w:eastAsiaTheme="majorEastAsia" w:hAnsiTheme="majorEastAsia" w:cstheme="majorEastAsia"/>
          <w:color w:val="000000" w:themeColor="text1"/>
        </w:rPr>
        <w:t>100 % egenbetaling)</w:t>
      </w:r>
      <w:r>
        <w:rPr>
          <w:rFonts w:asciiTheme="majorEastAsia" w:eastAsiaTheme="majorEastAsia" w:hAnsiTheme="majorEastAsia" w:cstheme="majorEastAsia"/>
          <w:color w:val="000000" w:themeColor="text1"/>
        </w:rPr>
        <w:t xml:space="preserve">. Dette </w:t>
      </w:r>
      <w:r w:rsidRPr="00E76F45">
        <w:rPr>
          <w:rFonts w:asciiTheme="majorEastAsia" w:eastAsiaTheme="majorEastAsia" w:hAnsiTheme="majorEastAsia" w:cstheme="majorEastAsia"/>
          <w:color w:val="000000" w:themeColor="text1"/>
        </w:rPr>
        <w:t xml:space="preserve">betyr at det </w:t>
      </w:r>
      <w:r w:rsidRPr="262002DF">
        <w:rPr>
          <w:rFonts w:asciiTheme="majorEastAsia" w:eastAsiaTheme="majorEastAsia" w:hAnsiTheme="majorEastAsia" w:cstheme="majorEastAsia"/>
          <w:i/>
          <w:iCs/>
          <w:color w:val="000000" w:themeColor="text1"/>
        </w:rPr>
        <w:t>ikke er adgang til å ta egenbetaling som er mellom 49</w:t>
      </w:r>
      <w:r w:rsidR="007935B0" w:rsidRPr="262002DF">
        <w:rPr>
          <w:rFonts w:asciiTheme="majorEastAsia" w:eastAsiaTheme="majorEastAsia" w:hAnsiTheme="majorEastAsia" w:cstheme="majorEastAsia"/>
          <w:i/>
          <w:iCs/>
          <w:color w:val="000000" w:themeColor="text1"/>
        </w:rPr>
        <w:t xml:space="preserve"> </w:t>
      </w:r>
      <w:r w:rsidRPr="262002DF">
        <w:rPr>
          <w:rFonts w:asciiTheme="majorEastAsia" w:eastAsiaTheme="majorEastAsia" w:hAnsiTheme="majorEastAsia" w:cstheme="majorEastAsia"/>
          <w:i/>
          <w:iCs/>
          <w:color w:val="000000" w:themeColor="text1"/>
        </w:rPr>
        <w:t xml:space="preserve">% og 99 % </w:t>
      </w:r>
      <w:r w:rsidRPr="00E76F45">
        <w:rPr>
          <w:rFonts w:asciiTheme="majorEastAsia" w:eastAsiaTheme="majorEastAsia" w:hAnsiTheme="majorEastAsia" w:cstheme="majorEastAsia"/>
          <w:color w:val="000000" w:themeColor="text1"/>
        </w:rPr>
        <w:t>av kostnadene</w:t>
      </w:r>
      <w:r>
        <w:rPr>
          <w:rFonts w:asciiTheme="majorEastAsia" w:eastAsiaTheme="majorEastAsia" w:hAnsiTheme="majorEastAsia" w:cstheme="majorEastAsia"/>
          <w:color w:val="000000" w:themeColor="text1"/>
        </w:rPr>
        <w:t xml:space="preserve"> ifølge statsstøtteregelverket.</w:t>
      </w:r>
      <w:r w:rsidR="005242EE">
        <w:rPr>
          <w:rFonts w:asciiTheme="majorEastAsia" w:eastAsiaTheme="majorEastAsia" w:hAnsiTheme="majorEastAsia" w:cstheme="majorEastAsia"/>
          <w:color w:val="000000" w:themeColor="text1"/>
        </w:rPr>
        <w:t xml:space="preserve"> </w:t>
      </w:r>
      <w:r>
        <w:rPr>
          <w:rFonts w:asciiTheme="majorEastAsia" w:eastAsiaTheme="majorEastAsia" w:hAnsiTheme="majorEastAsia" w:cstheme="majorEastAsia"/>
          <w:color w:val="000000" w:themeColor="text1"/>
        </w:rPr>
        <w:t xml:space="preserve">For </w:t>
      </w:r>
      <w:r w:rsidRPr="006A0F73">
        <w:rPr>
          <w:rFonts w:asciiTheme="majorEastAsia" w:eastAsiaTheme="majorEastAsia" w:hAnsiTheme="majorEastAsia" w:cstheme="majorEastAsia"/>
          <w:i/>
          <w:iCs/>
          <w:color w:val="000000" w:themeColor="text1"/>
        </w:rPr>
        <w:t>økonomisk aktivitet</w:t>
      </w:r>
      <w:r>
        <w:rPr>
          <w:rFonts w:asciiTheme="majorEastAsia" w:eastAsiaTheme="majorEastAsia" w:hAnsiTheme="majorEastAsia" w:cstheme="majorEastAsia"/>
          <w:color w:val="000000" w:themeColor="text1"/>
        </w:rPr>
        <w:t xml:space="preserve"> må det i tillegg beregnes en </w:t>
      </w:r>
      <w:r w:rsidRPr="262002DF">
        <w:rPr>
          <w:rFonts w:asciiTheme="majorEastAsia" w:eastAsiaTheme="majorEastAsia" w:hAnsiTheme="majorEastAsia" w:cstheme="majorEastAsia"/>
          <w:i/>
          <w:iCs/>
          <w:color w:val="000000" w:themeColor="text1"/>
        </w:rPr>
        <w:t>rimelig margin for fortjeneste</w:t>
      </w:r>
      <w:r w:rsidR="006F1845" w:rsidRPr="262002DF">
        <w:rPr>
          <w:rFonts w:asciiTheme="majorEastAsia" w:eastAsiaTheme="majorEastAsia" w:hAnsiTheme="majorEastAsia" w:cstheme="majorEastAsia"/>
          <w:i/>
          <w:iCs/>
          <w:color w:val="000000" w:themeColor="text1"/>
        </w:rPr>
        <w:t xml:space="preserve">, </w:t>
      </w:r>
      <w:r w:rsidR="006F1845" w:rsidRPr="004071CA">
        <w:rPr>
          <w:rFonts w:asciiTheme="majorEastAsia" w:eastAsiaTheme="majorEastAsia" w:hAnsiTheme="majorEastAsia" w:cstheme="majorEastAsia"/>
          <w:iCs/>
          <w:color w:val="000000" w:themeColor="text1"/>
        </w:rPr>
        <w:t>jf. statsstøtteregelverket</w:t>
      </w:r>
      <w:r w:rsidRPr="004071CA">
        <w:rPr>
          <w:rFonts w:asciiTheme="majorEastAsia" w:eastAsiaTheme="majorEastAsia" w:hAnsiTheme="majorEastAsia" w:cstheme="majorEastAsia"/>
          <w:color w:val="000000" w:themeColor="text1"/>
        </w:rPr>
        <w:t>.</w:t>
      </w:r>
      <w:r>
        <w:rPr>
          <w:rFonts w:asciiTheme="majorEastAsia" w:eastAsiaTheme="majorEastAsia" w:hAnsiTheme="majorEastAsia" w:cstheme="majorEastAsia"/>
          <w:color w:val="000000" w:themeColor="text1"/>
        </w:rPr>
        <w:t xml:space="preserve"> </w:t>
      </w:r>
      <w:r w:rsidR="00402B71">
        <w:rPr>
          <w:rFonts w:asciiTheme="majorEastAsia" w:eastAsiaTheme="majorEastAsia" w:hAnsiTheme="majorEastAsia" w:cstheme="majorEastAsia"/>
          <w:color w:val="000000" w:themeColor="text1"/>
        </w:rPr>
        <w:t>Ordene «margin for fortjeneste» fremkommer ikke i</w:t>
      </w:r>
      <w:r>
        <w:rPr>
          <w:rFonts w:asciiTheme="majorEastAsia" w:eastAsiaTheme="majorEastAsia" w:hAnsiTheme="majorEastAsia" w:cstheme="majorEastAsia"/>
          <w:color w:val="000000" w:themeColor="text1"/>
        </w:rPr>
        <w:t xml:space="preserve"> egenbetalings</w:t>
      </w:r>
      <w:r w:rsidR="00402B71">
        <w:rPr>
          <w:rFonts w:asciiTheme="majorEastAsia" w:eastAsiaTheme="majorEastAsia" w:hAnsiTheme="majorEastAsia" w:cstheme="majorEastAsia"/>
          <w:color w:val="000000" w:themeColor="text1"/>
        </w:rPr>
        <w:t>forskriften, men det er et generelt prinsipp i norsk rett at alle forskrifter må leses i lys av annet relevant regelverk</w:t>
      </w:r>
      <w:r w:rsidR="00F4631B">
        <w:rPr>
          <w:rFonts w:asciiTheme="majorEastAsia" w:eastAsiaTheme="majorEastAsia" w:hAnsiTheme="majorEastAsia" w:cstheme="majorEastAsia"/>
          <w:color w:val="000000" w:themeColor="text1"/>
        </w:rPr>
        <w:t>.</w:t>
      </w:r>
      <w:r w:rsidR="00BC4853">
        <w:rPr>
          <w:rFonts w:asciiTheme="majorEastAsia" w:eastAsiaTheme="majorEastAsia" w:hAnsiTheme="majorEastAsia" w:cstheme="majorEastAsia"/>
          <w:color w:val="000000" w:themeColor="text1"/>
        </w:rPr>
        <w:t xml:space="preserve"> </w:t>
      </w:r>
    </w:p>
    <w:p w14:paraId="516810B7" w14:textId="69BA37E7" w:rsidR="009E5C9A" w:rsidRPr="00A02480" w:rsidRDefault="00E76F45" w:rsidP="00E76F45">
      <w:pPr>
        <w:rPr>
          <w:rFonts w:eastAsiaTheme="majorEastAsia"/>
          <w:color w:val="000000" w:themeColor="text1"/>
        </w:rPr>
      </w:pPr>
      <w:r w:rsidRPr="00A02480">
        <w:rPr>
          <w:rFonts w:eastAsiaTheme="majorEastAsia"/>
          <w:color w:val="000000" w:themeColor="text1"/>
        </w:rPr>
        <w:t xml:space="preserve">For </w:t>
      </w:r>
      <w:r w:rsidRPr="006A0F73">
        <w:rPr>
          <w:rFonts w:eastAsiaTheme="majorEastAsia"/>
          <w:b/>
          <w:i/>
          <w:color w:val="000000" w:themeColor="text1"/>
        </w:rPr>
        <w:t>ikke-økonomisk aktivitet</w:t>
      </w:r>
      <w:r w:rsidRPr="00A02480">
        <w:rPr>
          <w:rFonts w:eastAsiaTheme="majorEastAsia"/>
          <w:color w:val="000000" w:themeColor="text1"/>
        </w:rPr>
        <w:t xml:space="preserve"> kan institusjonen fritt fastsette egenbetaling </w:t>
      </w:r>
      <w:r w:rsidR="005B43D5">
        <w:rPr>
          <w:rFonts w:eastAsiaTheme="majorEastAsia"/>
          <w:i/>
          <w:color w:val="000000" w:themeColor="text1"/>
        </w:rPr>
        <w:t>inntil</w:t>
      </w:r>
      <w:r w:rsidRPr="007935B0">
        <w:rPr>
          <w:rFonts w:eastAsiaTheme="majorEastAsia"/>
          <w:i/>
          <w:color w:val="000000" w:themeColor="text1"/>
        </w:rPr>
        <w:t xml:space="preserve"> 49 %</w:t>
      </w:r>
      <w:r w:rsidRPr="00A02480">
        <w:rPr>
          <w:rFonts w:eastAsiaTheme="majorEastAsia"/>
          <w:color w:val="000000" w:themeColor="text1"/>
        </w:rPr>
        <w:t xml:space="preserve"> av kostnadene. </w:t>
      </w:r>
      <w:r w:rsidR="00CE487B" w:rsidRPr="00A02480">
        <w:rPr>
          <w:rFonts w:eastAsiaTheme="majorEastAsia"/>
          <w:color w:val="000000" w:themeColor="text1"/>
        </w:rPr>
        <w:t xml:space="preserve">Dette er ensbetydende med at </w:t>
      </w:r>
      <w:r w:rsidR="00A02480">
        <w:rPr>
          <w:rFonts w:eastAsiaTheme="majorEastAsia"/>
          <w:color w:val="000000" w:themeColor="text1"/>
        </w:rPr>
        <w:t xml:space="preserve">institusjonenes </w:t>
      </w:r>
      <w:r w:rsidR="00CE487B" w:rsidRPr="00A02480">
        <w:rPr>
          <w:rFonts w:eastAsiaTheme="majorEastAsia"/>
          <w:color w:val="000000" w:themeColor="text1"/>
        </w:rPr>
        <w:t>egenfinansieringsprosent</w:t>
      </w:r>
      <w:r w:rsidR="00A02480" w:rsidRPr="00A02480">
        <w:rPr>
          <w:rFonts w:eastAsiaTheme="majorEastAsia"/>
          <w:color w:val="000000" w:themeColor="text1"/>
        </w:rPr>
        <w:t xml:space="preserve"> (</w:t>
      </w:r>
      <w:r w:rsidR="00A02480">
        <w:rPr>
          <w:rFonts w:eastAsiaTheme="majorEastAsia"/>
          <w:color w:val="000000" w:themeColor="text1"/>
        </w:rPr>
        <w:t>jf. kapittel 3)</w:t>
      </w:r>
      <w:r w:rsidR="00CE487B" w:rsidRPr="00A02480">
        <w:rPr>
          <w:rFonts w:eastAsiaTheme="majorEastAsia"/>
          <w:color w:val="000000" w:themeColor="text1"/>
        </w:rPr>
        <w:t xml:space="preserve"> </w:t>
      </w:r>
      <w:r w:rsidR="00A02480" w:rsidRPr="00A02480">
        <w:rPr>
          <w:rFonts w:eastAsiaTheme="majorEastAsia"/>
          <w:color w:val="000000" w:themeColor="text1"/>
        </w:rPr>
        <w:t xml:space="preserve">må </w:t>
      </w:r>
      <w:r w:rsidR="00F24528">
        <w:rPr>
          <w:rFonts w:eastAsiaTheme="majorEastAsia"/>
          <w:color w:val="000000" w:themeColor="text1"/>
        </w:rPr>
        <w:t>være minst</w:t>
      </w:r>
      <w:r w:rsidR="00CE487B" w:rsidRPr="00A02480">
        <w:rPr>
          <w:rFonts w:eastAsiaTheme="majorEastAsia"/>
          <w:color w:val="000000" w:themeColor="text1"/>
        </w:rPr>
        <w:t xml:space="preserve"> 51 %</w:t>
      </w:r>
      <w:r w:rsidR="00A02480" w:rsidRPr="00A02480">
        <w:rPr>
          <w:rFonts w:eastAsiaTheme="majorEastAsia"/>
          <w:color w:val="000000" w:themeColor="text1"/>
        </w:rPr>
        <w:t>.</w:t>
      </w:r>
      <w:r w:rsidR="00A02480">
        <w:rPr>
          <w:rFonts w:eastAsiaTheme="majorEastAsia"/>
          <w:color w:val="000000" w:themeColor="text1"/>
        </w:rPr>
        <w:t xml:space="preserve"> </w:t>
      </w:r>
      <w:r w:rsidR="00A02480" w:rsidRPr="005B43D5">
        <w:rPr>
          <w:rFonts w:eastAsiaTheme="majorEastAsia"/>
          <w:color w:val="000000" w:themeColor="text1"/>
        </w:rPr>
        <w:t xml:space="preserve">Det skal </w:t>
      </w:r>
      <w:r w:rsidR="00A02480" w:rsidRPr="005B43D5">
        <w:rPr>
          <w:rFonts w:eastAsiaTheme="majorEastAsia"/>
          <w:i/>
          <w:color w:val="000000" w:themeColor="text1"/>
        </w:rPr>
        <w:t>ikke</w:t>
      </w:r>
      <w:r w:rsidR="00A02480" w:rsidRPr="005B43D5">
        <w:rPr>
          <w:rFonts w:eastAsiaTheme="majorEastAsia"/>
          <w:color w:val="000000" w:themeColor="text1"/>
        </w:rPr>
        <w:t xml:space="preserve"> beregnes margin for fortjeneste for ikke-økonomisk aktivitet.</w:t>
      </w:r>
    </w:p>
    <w:p w14:paraId="21CE3786" w14:textId="6FCAB784" w:rsidR="005E39D6" w:rsidRDefault="28257F58" w:rsidP="28257F58">
      <w:pPr>
        <w:rPr>
          <w:rFonts w:asciiTheme="majorEastAsia" w:eastAsiaTheme="majorEastAsia" w:hAnsiTheme="majorEastAsia" w:cstheme="majorEastAsia"/>
          <w:color w:val="000000" w:themeColor="text1"/>
        </w:rPr>
      </w:pPr>
      <w:r w:rsidRPr="28257F58">
        <w:rPr>
          <w:rFonts w:asciiTheme="majorEastAsia" w:eastAsiaTheme="majorEastAsia" w:hAnsiTheme="majorEastAsia" w:cstheme="majorEastAsia"/>
          <w:color w:val="000000" w:themeColor="text1"/>
        </w:rPr>
        <w:t>Institusjonene er selv ansvarlig for å dokumentere at aktiviteten faller inn under ett av unntakene og at egenbetalingen er i tråd med statsstøtteregelverket. Økonomisk aktivitet må holdes atskilt fra ikke-økonomisk aktivitet</w:t>
      </w:r>
      <w:r w:rsidR="00070AA6">
        <w:rPr>
          <w:rFonts w:asciiTheme="majorEastAsia" w:eastAsiaTheme="majorEastAsia" w:hAnsiTheme="majorEastAsia" w:cstheme="majorEastAsia"/>
          <w:color w:val="000000" w:themeColor="text1"/>
        </w:rPr>
        <w:t xml:space="preserve"> i institusjonenes regnskap</w:t>
      </w:r>
      <w:r w:rsidRPr="28257F58">
        <w:rPr>
          <w:rFonts w:asciiTheme="majorEastAsia" w:eastAsiaTheme="majorEastAsia" w:hAnsiTheme="majorEastAsia" w:cstheme="majorEastAsia"/>
          <w:color w:val="000000" w:themeColor="text1"/>
        </w:rPr>
        <w:t xml:space="preserve"> for å unngå kryssubsidiering. </w:t>
      </w:r>
    </w:p>
    <w:p w14:paraId="7BC807C5" w14:textId="757C4142" w:rsidR="007935B0" w:rsidRPr="007935B0" w:rsidRDefault="00A3621C" w:rsidP="00B9140D">
      <w:pPr>
        <w:pStyle w:val="Overskrift3"/>
        <w:numPr>
          <w:ilvl w:val="1"/>
          <w:numId w:val="23"/>
        </w:numPr>
        <w:rPr>
          <w:color w:val="000000" w:themeColor="text1"/>
        </w:rPr>
      </w:pPr>
      <w:bookmarkStart w:id="25" w:name="_Toc516731434"/>
      <w:r w:rsidRPr="00074B01">
        <w:rPr>
          <w:color w:val="000000" w:themeColor="text1"/>
        </w:rPr>
        <w:t>Dokumentasjon av kostnader</w:t>
      </w:r>
      <w:bookmarkEnd w:id="25"/>
      <w:r w:rsidRPr="00074B01">
        <w:rPr>
          <w:color w:val="000000" w:themeColor="text1"/>
        </w:rPr>
        <w:t xml:space="preserve"> </w:t>
      </w:r>
    </w:p>
    <w:p w14:paraId="61C96992" w14:textId="1520C2E0" w:rsidR="005F2270" w:rsidRPr="00074B01" w:rsidRDefault="00B9140D" w:rsidP="00B9140D">
      <w:pPr>
        <w:rPr>
          <w:rFonts w:eastAsiaTheme="majorEastAsia"/>
          <w:color w:val="000000" w:themeColor="text1"/>
        </w:rPr>
      </w:pPr>
      <w:r w:rsidRPr="00074B01">
        <w:rPr>
          <w:rFonts w:eastAsiaTheme="majorEastAsia"/>
          <w:color w:val="000000" w:themeColor="text1"/>
        </w:rPr>
        <w:t xml:space="preserve">For </w:t>
      </w:r>
      <w:r w:rsidRPr="00C053F7">
        <w:rPr>
          <w:rFonts w:eastAsiaTheme="majorEastAsia"/>
          <w:b/>
          <w:i/>
          <w:color w:val="000000" w:themeColor="text1"/>
        </w:rPr>
        <w:t>ikke-økonomisk aktivitet</w:t>
      </w:r>
      <w:r w:rsidRPr="00074B01">
        <w:rPr>
          <w:rFonts w:eastAsiaTheme="majorEastAsia"/>
          <w:color w:val="000000" w:themeColor="text1"/>
        </w:rPr>
        <w:t xml:space="preserve"> skal institusjonene oppgi en </w:t>
      </w:r>
      <w:r w:rsidRPr="007A10E6">
        <w:rPr>
          <w:rFonts w:eastAsiaTheme="majorEastAsia"/>
          <w:i/>
          <w:color w:val="000000" w:themeColor="text1"/>
        </w:rPr>
        <w:t>egenfinansieringsprosent</w:t>
      </w:r>
      <w:r w:rsidRPr="00074B01">
        <w:rPr>
          <w:rFonts w:eastAsiaTheme="majorEastAsia"/>
          <w:color w:val="000000" w:themeColor="text1"/>
        </w:rPr>
        <w:t xml:space="preserve"> som er definert i DBH (jf. avsnitt 3.1). Det betyr at </w:t>
      </w:r>
      <w:r w:rsidR="009E5C9A" w:rsidRPr="00074B01">
        <w:rPr>
          <w:rFonts w:eastAsiaTheme="majorEastAsia"/>
          <w:color w:val="000000" w:themeColor="text1"/>
        </w:rPr>
        <w:t>KDs finansierings</w:t>
      </w:r>
      <w:r w:rsidR="00CE487B" w:rsidRPr="00074B01">
        <w:rPr>
          <w:rFonts w:eastAsiaTheme="majorEastAsia"/>
          <w:color w:val="000000" w:themeColor="text1"/>
        </w:rPr>
        <w:t>kategori</w:t>
      </w:r>
      <w:r w:rsidR="009E5C9A" w:rsidRPr="00074B01">
        <w:rPr>
          <w:rFonts w:eastAsiaTheme="majorEastAsia"/>
          <w:color w:val="000000" w:themeColor="text1"/>
        </w:rPr>
        <w:t xml:space="preserve"> </w:t>
      </w:r>
      <w:r w:rsidRPr="00074B01">
        <w:rPr>
          <w:rFonts w:eastAsiaTheme="majorEastAsia"/>
          <w:color w:val="000000" w:themeColor="text1"/>
        </w:rPr>
        <w:t xml:space="preserve">benyttes </w:t>
      </w:r>
      <w:r w:rsidR="00A3621C" w:rsidRPr="00074B01">
        <w:rPr>
          <w:rFonts w:eastAsiaTheme="majorEastAsia"/>
          <w:color w:val="000000" w:themeColor="text1"/>
        </w:rPr>
        <w:t xml:space="preserve">som et </w:t>
      </w:r>
      <w:r w:rsidR="009E5C9A" w:rsidRPr="00074B01">
        <w:rPr>
          <w:rFonts w:eastAsiaTheme="majorEastAsia"/>
          <w:color w:val="000000" w:themeColor="text1"/>
        </w:rPr>
        <w:t xml:space="preserve">rimelig anslag for kostnadene for </w:t>
      </w:r>
      <w:r w:rsidRPr="00074B01">
        <w:rPr>
          <w:rFonts w:eastAsiaTheme="majorEastAsia"/>
          <w:color w:val="000000" w:themeColor="text1"/>
        </w:rPr>
        <w:t xml:space="preserve">et </w:t>
      </w:r>
      <w:r w:rsidR="009E5C9A" w:rsidRPr="00074B01">
        <w:rPr>
          <w:rFonts w:eastAsiaTheme="majorEastAsia"/>
          <w:color w:val="000000" w:themeColor="text1"/>
        </w:rPr>
        <w:t>program/emne</w:t>
      </w:r>
      <w:r w:rsidRPr="00074B01">
        <w:rPr>
          <w:rFonts w:eastAsiaTheme="majorEastAsia"/>
          <w:color w:val="000000" w:themeColor="text1"/>
        </w:rPr>
        <w:t>.</w:t>
      </w:r>
    </w:p>
    <w:p w14:paraId="06E3EC8B" w14:textId="17B00D71" w:rsidR="00B9140D" w:rsidRDefault="28257F58" w:rsidP="28257F58">
      <w:pPr>
        <w:rPr>
          <w:rFonts w:asciiTheme="majorEastAsia" w:eastAsiaTheme="majorEastAsia" w:hAnsiTheme="majorEastAsia" w:cstheme="majorEastAsia"/>
          <w:color w:val="000000" w:themeColor="text1"/>
        </w:rPr>
      </w:pPr>
      <w:r w:rsidRPr="28257F58">
        <w:rPr>
          <w:rFonts w:asciiTheme="majorEastAsia" w:eastAsiaTheme="majorEastAsia" w:hAnsiTheme="majorEastAsia" w:cstheme="majorEastAsia"/>
          <w:color w:val="000000" w:themeColor="text1"/>
        </w:rPr>
        <w:t xml:space="preserve">For </w:t>
      </w:r>
      <w:r w:rsidRPr="46D54BE2">
        <w:rPr>
          <w:rFonts w:asciiTheme="majorEastAsia" w:eastAsiaTheme="majorEastAsia" w:hAnsiTheme="majorEastAsia" w:cstheme="majorEastAsia"/>
          <w:b/>
          <w:bCs/>
          <w:i/>
          <w:iCs/>
          <w:color w:val="000000" w:themeColor="text1"/>
        </w:rPr>
        <w:t>økonomisk aktivitet</w:t>
      </w:r>
      <w:r w:rsidRPr="28257F58">
        <w:rPr>
          <w:rFonts w:asciiTheme="majorEastAsia" w:eastAsiaTheme="majorEastAsia" w:hAnsiTheme="majorEastAsia" w:cstheme="majorEastAsia"/>
          <w:b/>
          <w:bCs/>
          <w:color w:val="000000" w:themeColor="text1"/>
        </w:rPr>
        <w:t xml:space="preserve"> </w:t>
      </w:r>
      <w:r w:rsidRPr="28257F58">
        <w:rPr>
          <w:rFonts w:asciiTheme="majorEastAsia" w:eastAsiaTheme="majorEastAsia" w:hAnsiTheme="majorEastAsia" w:cstheme="majorEastAsia"/>
          <w:color w:val="000000" w:themeColor="text1"/>
        </w:rPr>
        <w:t xml:space="preserve">må institusjonen beregne totale kostnader for å dokumentere at egenbetalingen dekker kostnadene. Den nye TDI-modellen for EVU vil være et nyttig verktøy. </w:t>
      </w:r>
      <w:r w:rsidRPr="46D54BE2">
        <w:rPr>
          <w:rFonts w:asciiTheme="majorEastAsia" w:eastAsiaTheme="majorEastAsia" w:hAnsiTheme="majorEastAsia" w:cstheme="majorEastAsia"/>
          <w:i/>
          <w:iCs/>
          <w:color w:val="000000" w:themeColor="text1"/>
        </w:rPr>
        <w:t>Alternativt</w:t>
      </w:r>
      <w:r w:rsidRPr="28257F58">
        <w:rPr>
          <w:rFonts w:asciiTheme="majorEastAsia" w:eastAsiaTheme="majorEastAsia" w:hAnsiTheme="majorEastAsia" w:cstheme="majorEastAsia"/>
          <w:color w:val="000000" w:themeColor="text1"/>
        </w:rPr>
        <w:t xml:space="preserve"> kan KDs finansieringskategorier benyttes som rimelig anslag for kostnadene for unntak </w:t>
      </w:r>
      <w:r w:rsidRPr="46D54BE2">
        <w:rPr>
          <w:rFonts w:asciiTheme="majorEastAsia" w:eastAsiaTheme="majorEastAsia" w:hAnsiTheme="majorEastAsia" w:cstheme="majorEastAsia"/>
          <w:i/>
          <w:iCs/>
          <w:color w:val="000000" w:themeColor="text1"/>
        </w:rPr>
        <w:t>som er studiepoenggivende</w:t>
      </w:r>
      <w:r w:rsidRPr="46D54BE2">
        <w:rPr>
          <w:rFonts w:asciiTheme="majorEastAsia" w:eastAsiaTheme="majorEastAsia" w:hAnsiTheme="majorEastAsia" w:cstheme="majorEastAsia"/>
          <w:b/>
          <w:bCs/>
          <w:i/>
          <w:iCs/>
          <w:color w:val="000000" w:themeColor="text1"/>
        </w:rPr>
        <w:t xml:space="preserve"> </w:t>
      </w:r>
      <w:r w:rsidRPr="28257F58">
        <w:rPr>
          <w:rFonts w:asciiTheme="majorEastAsia" w:eastAsiaTheme="majorEastAsia" w:hAnsiTheme="majorEastAsia" w:cstheme="majorEastAsia"/>
          <w:color w:val="000000" w:themeColor="text1"/>
        </w:rPr>
        <w:t>(b, c og d). Kurs (unntak a) har ingen finansieringskategori og kostnadene må derfor beregnes vha. TDI-modellen (eller tilsvarende totalkostnadsberegning).</w:t>
      </w:r>
    </w:p>
    <w:p w14:paraId="70F6568D" w14:textId="77777777" w:rsidR="00A3621C" w:rsidRPr="00074B01" w:rsidRDefault="00CD562C" w:rsidP="00A726DC">
      <w:pPr>
        <w:pStyle w:val="Overskrift3"/>
        <w:numPr>
          <w:ilvl w:val="1"/>
          <w:numId w:val="23"/>
        </w:numPr>
        <w:rPr>
          <w:color w:val="000000" w:themeColor="text1"/>
        </w:rPr>
      </w:pPr>
      <w:bookmarkStart w:id="26" w:name="_Toc516731435"/>
      <w:r w:rsidRPr="00074B01">
        <w:rPr>
          <w:color w:val="000000" w:themeColor="text1"/>
        </w:rPr>
        <w:t>Hva ligger innenfor unntak b?</w:t>
      </w:r>
      <w:bookmarkEnd w:id="26"/>
      <w:r w:rsidRPr="00074B01">
        <w:rPr>
          <w:color w:val="000000" w:themeColor="text1"/>
        </w:rPr>
        <w:t xml:space="preserve"> </w:t>
      </w:r>
    </w:p>
    <w:p w14:paraId="3563590F" w14:textId="77777777" w:rsidR="00B970FB" w:rsidRDefault="00CD562C" w:rsidP="00B970FB">
      <w:pPr>
        <w:rPr>
          <w:rFonts w:eastAsiaTheme="majorEastAsia"/>
          <w:color w:val="000000" w:themeColor="text1"/>
        </w:rPr>
      </w:pPr>
      <w:r w:rsidRPr="00074B01">
        <w:rPr>
          <w:rFonts w:eastAsiaTheme="majorEastAsia"/>
          <w:color w:val="000000" w:themeColor="text1"/>
        </w:rPr>
        <w:t>Unntak b</w:t>
      </w:r>
      <w:r w:rsidR="00A203CE" w:rsidRPr="00074B01">
        <w:rPr>
          <w:rFonts w:eastAsiaTheme="majorEastAsia"/>
          <w:color w:val="000000" w:themeColor="text1"/>
        </w:rPr>
        <w:t xml:space="preserve">: </w:t>
      </w:r>
      <w:r w:rsidRPr="00074B01">
        <w:rPr>
          <w:rFonts w:eastAsiaTheme="majorEastAsia"/>
          <w:i/>
          <w:color w:val="000000" w:themeColor="text1"/>
        </w:rPr>
        <w:t xml:space="preserve">fag/emner som </w:t>
      </w:r>
      <w:r w:rsidRPr="007935B0">
        <w:rPr>
          <w:rFonts w:eastAsiaTheme="majorEastAsia"/>
          <w:i/>
          <w:color w:val="000000" w:themeColor="text1"/>
        </w:rPr>
        <w:t>normalt ikke er en del av studieprogram som fører fram til grad eller yrkesutdanning</w:t>
      </w:r>
      <w:r w:rsidRPr="00074B01">
        <w:rPr>
          <w:rFonts w:eastAsiaTheme="majorEastAsia"/>
          <w:color w:val="000000" w:themeColor="text1"/>
        </w:rPr>
        <w:t>, tolkes forskjellig ved institusjonene i sektoren</w:t>
      </w:r>
      <w:r w:rsidR="00A203CE" w:rsidRPr="00074B01">
        <w:rPr>
          <w:rFonts w:eastAsiaTheme="majorEastAsia"/>
          <w:color w:val="000000" w:themeColor="text1"/>
        </w:rPr>
        <w:t xml:space="preserve">, jf. </w:t>
      </w:r>
      <w:r w:rsidR="00074B01">
        <w:rPr>
          <w:rFonts w:eastAsiaTheme="majorEastAsia"/>
          <w:color w:val="000000" w:themeColor="text1"/>
        </w:rPr>
        <w:t xml:space="preserve">tallgrunnlaget i </w:t>
      </w:r>
      <w:r w:rsidR="00A203CE" w:rsidRPr="00074B01">
        <w:rPr>
          <w:rFonts w:eastAsiaTheme="majorEastAsia"/>
          <w:color w:val="000000" w:themeColor="text1"/>
        </w:rPr>
        <w:t>kapittel 5</w:t>
      </w:r>
      <w:r w:rsidRPr="00074B01">
        <w:rPr>
          <w:rFonts w:eastAsiaTheme="majorEastAsia"/>
          <w:color w:val="000000" w:themeColor="text1"/>
        </w:rPr>
        <w:t xml:space="preserve">.  </w:t>
      </w:r>
    </w:p>
    <w:p w14:paraId="3F5C556A" w14:textId="77777777" w:rsidR="002D3F6A" w:rsidRDefault="002D3F6A" w:rsidP="28257F58">
      <w:pPr>
        <w:rPr>
          <w:rFonts w:asciiTheme="majorEastAsia" w:eastAsiaTheme="majorEastAsia" w:hAnsiTheme="majorEastAsia" w:cstheme="majorEastAsia"/>
          <w:color w:val="000000" w:themeColor="text1"/>
        </w:rPr>
      </w:pPr>
      <w:r w:rsidRPr="1268772F">
        <w:rPr>
          <w:rFonts w:asciiTheme="majorEastAsia" w:eastAsiaTheme="majorEastAsia" w:hAnsiTheme="majorEastAsia" w:cstheme="majorEastAsia"/>
          <w:color w:val="000000" w:themeColor="text1"/>
        </w:rPr>
        <w:t>Veiledning for å forstå hensikten med unntaket finner vi i høringsbrevet til forskriften</w:t>
      </w:r>
      <w:r w:rsidRPr="1268772F">
        <w:rPr>
          <w:rStyle w:val="Fotnotereferanse"/>
          <w:rFonts w:asciiTheme="majorEastAsia" w:eastAsiaTheme="majorEastAsia" w:hAnsiTheme="majorEastAsia" w:cstheme="majorEastAsia"/>
          <w:color w:val="000000" w:themeColor="text1"/>
        </w:rPr>
        <w:footnoteReference w:id="27"/>
      </w:r>
      <w:r w:rsidRPr="1268772F">
        <w:rPr>
          <w:rFonts w:asciiTheme="majorEastAsia" w:eastAsiaTheme="majorEastAsia" w:hAnsiTheme="majorEastAsia" w:cstheme="majorEastAsia"/>
          <w:color w:val="000000" w:themeColor="text1"/>
        </w:rPr>
        <w:t xml:space="preserve"> som er referert i avsnitt 6.1. Høringsbrevet presiserer også at:</w:t>
      </w:r>
    </w:p>
    <w:p w14:paraId="0AB87347" w14:textId="22CAF388" w:rsidR="002D3F6A" w:rsidRPr="007935B0" w:rsidRDefault="002D3F6A" w:rsidP="002D3F6A">
      <w:pPr>
        <w:rPr>
          <w:rFonts w:eastAsiaTheme="majorEastAsia"/>
          <w:i/>
        </w:rPr>
      </w:pPr>
      <w:r w:rsidRPr="007935B0">
        <w:rPr>
          <w:rFonts w:eastAsiaTheme="majorEastAsia"/>
          <w:i/>
        </w:rPr>
        <w:lastRenderedPageBreak/>
        <w:t xml:space="preserve">«Institusjonene kan </w:t>
      </w:r>
      <w:r w:rsidRPr="007935B0">
        <w:rPr>
          <w:rFonts w:eastAsiaTheme="majorEastAsia"/>
          <w:i/>
          <w:u w:val="single"/>
        </w:rPr>
        <w:t>ikke omgå begrensningene</w:t>
      </w:r>
      <w:r w:rsidRPr="007935B0">
        <w:rPr>
          <w:rFonts w:eastAsiaTheme="majorEastAsia"/>
          <w:i/>
        </w:rPr>
        <w:t xml:space="preserve"> i forskriftens § 3-1 ved å dele opp studie</w:t>
      </w:r>
      <w:r w:rsidR="007A10E6">
        <w:rPr>
          <w:rFonts w:eastAsiaTheme="majorEastAsia"/>
          <w:i/>
        </w:rPr>
        <w:t>-</w:t>
      </w:r>
      <w:r w:rsidRPr="007935B0">
        <w:rPr>
          <w:rFonts w:eastAsiaTheme="majorEastAsia"/>
          <w:i/>
        </w:rPr>
        <w:t xml:space="preserve">programmer som normalt fører fram til en grad eller yrkesutdanning for å kunne tilby de som egenbetalingsstudier. </w:t>
      </w:r>
    </w:p>
    <w:p w14:paraId="612B2FBA" w14:textId="1D1814B5" w:rsidR="00A203CE" w:rsidRDefault="28257F58" w:rsidP="28257F58">
      <w:pPr>
        <w:rPr>
          <w:color w:val="000000" w:themeColor="text1"/>
        </w:rPr>
      </w:pPr>
      <w:r w:rsidRPr="28257F58">
        <w:rPr>
          <w:rFonts w:asciiTheme="majorEastAsia" w:eastAsiaTheme="majorEastAsia" w:hAnsiTheme="majorEastAsia" w:cstheme="majorEastAsia"/>
          <w:color w:val="000000" w:themeColor="text1"/>
        </w:rPr>
        <w:t xml:space="preserve">Dette tyder på at unntak b skal tolkes snevert. Unntak b kan kun omfatte fag/emner som er vesentlig forskjellig fra tilbud som tilbys gratis innenfor rammebevilgningen. Det er derfor ikke tilstrekkelig å </w:t>
      </w:r>
      <w:r w:rsidRPr="28257F58">
        <w:rPr>
          <w:color w:val="000000" w:themeColor="text1"/>
        </w:rPr>
        <w:t xml:space="preserve">tilrettelegge fag/emner for andre målgrupper eller å gjøre utdanningen nettbasert så lenge fag/emnet kan føre frem til, eller inngå, i en grad. Hvis det reklameres for at et fag/emne </w:t>
      </w:r>
      <w:r w:rsidRPr="46D54BE2">
        <w:rPr>
          <w:i/>
          <w:iCs/>
          <w:color w:val="000000" w:themeColor="text1"/>
        </w:rPr>
        <w:t>kan</w:t>
      </w:r>
      <w:r w:rsidRPr="28257F58">
        <w:rPr>
          <w:color w:val="000000" w:themeColor="text1"/>
        </w:rPr>
        <w:t xml:space="preserve"> innpasses i en grad senere, er det grunn til å tro at dette fag/emnet faller utenfor intensjonen i unntaket. Hver institusjon må som nevnt tidligere, bære ansvaret for sin tolkning av unntaket.</w:t>
      </w:r>
    </w:p>
    <w:p w14:paraId="260CA6D7" w14:textId="003A9F8D" w:rsidR="005B43D5" w:rsidRDefault="00CF5A54" w:rsidP="005B43D5">
      <w:pPr>
        <w:rPr>
          <w:color w:val="000000" w:themeColor="text1"/>
        </w:rPr>
      </w:pPr>
      <w:r>
        <w:rPr>
          <w:color w:val="000000" w:themeColor="text1"/>
        </w:rPr>
        <w:t>F</w:t>
      </w:r>
      <w:r w:rsidR="003C2771" w:rsidRPr="00074B01">
        <w:rPr>
          <w:color w:val="000000" w:themeColor="text1"/>
        </w:rPr>
        <w:t xml:space="preserve">orskriften og unntak b gir </w:t>
      </w:r>
      <w:r w:rsidR="00990B56">
        <w:rPr>
          <w:color w:val="000000" w:themeColor="text1"/>
        </w:rPr>
        <w:t>imidlertid</w:t>
      </w:r>
      <w:r>
        <w:rPr>
          <w:color w:val="000000" w:themeColor="text1"/>
        </w:rPr>
        <w:t xml:space="preserve"> </w:t>
      </w:r>
      <w:r w:rsidR="003C2771" w:rsidRPr="00074B01">
        <w:rPr>
          <w:color w:val="000000" w:themeColor="text1"/>
        </w:rPr>
        <w:t xml:space="preserve">åpning for å lage fag/emner som samfunnet trenger </w:t>
      </w:r>
      <w:r w:rsidR="00990B56">
        <w:rPr>
          <w:color w:val="000000" w:themeColor="text1"/>
        </w:rPr>
        <w:t xml:space="preserve">såfremt de ikke skal/kan inngå i en grad. Slik virksomhet skal ikke </w:t>
      </w:r>
      <w:r w:rsidR="003C2771" w:rsidRPr="00074B01">
        <w:rPr>
          <w:color w:val="000000" w:themeColor="text1"/>
        </w:rPr>
        <w:t xml:space="preserve">gå på bekostning av ordinær bevilgningsfinansiert virksomhet. </w:t>
      </w:r>
    </w:p>
    <w:p w14:paraId="64078F28" w14:textId="77777777" w:rsidR="005B43D5" w:rsidRDefault="005B43D5">
      <w:pPr>
        <w:spacing w:after="160" w:afterAutospacing="0" w:line="259" w:lineRule="auto"/>
        <w:rPr>
          <w:color w:val="000000" w:themeColor="text1"/>
        </w:rPr>
      </w:pPr>
      <w:r>
        <w:rPr>
          <w:color w:val="000000" w:themeColor="text1"/>
        </w:rPr>
        <w:br w:type="page"/>
      </w:r>
    </w:p>
    <w:p w14:paraId="1AFEBA32" w14:textId="313D3057" w:rsidR="00CF5A54" w:rsidRPr="00FA0E08" w:rsidRDefault="00FA0E08" w:rsidP="00FA0E08">
      <w:pPr>
        <w:pStyle w:val="Overskrift2"/>
        <w:numPr>
          <w:ilvl w:val="0"/>
          <w:numId w:val="23"/>
        </w:numPr>
      </w:pPr>
      <w:bookmarkStart w:id="27" w:name="_Toc516731436"/>
      <w:r w:rsidRPr="00FA0E08">
        <w:lastRenderedPageBreak/>
        <w:t>Veiledende retningslinjer for finansiering av EVU</w:t>
      </w:r>
      <w:bookmarkEnd w:id="27"/>
    </w:p>
    <w:p w14:paraId="3939CD02" w14:textId="5EF224CE" w:rsidR="00CF5A54" w:rsidRPr="00C85B61" w:rsidRDefault="00CF5A54" w:rsidP="28257F58">
      <w:pPr>
        <w:rPr>
          <w:color w:val="000000" w:themeColor="text1"/>
        </w:rPr>
      </w:pPr>
      <w:r w:rsidRPr="00C85B61">
        <w:rPr>
          <w:color w:val="000000" w:themeColor="text1"/>
        </w:rPr>
        <w:t xml:space="preserve">Etter arbeidsgruppen </w:t>
      </w:r>
      <w:r w:rsidR="00E2045E">
        <w:rPr>
          <w:color w:val="000000" w:themeColor="text1"/>
        </w:rPr>
        <w:t>vurdering</w:t>
      </w:r>
      <w:r w:rsidRPr="00C85B61">
        <w:rPr>
          <w:color w:val="000000" w:themeColor="text1"/>
        </w:rPr>
        <w:t xml:space="preserve"> kan rammebetingelsene for EVU </w:t>
      </w:r>
      <w:r w:rsidR="004A37D1">
        <w:rPr>
          <w:color w:val="000000" w:themeColor="text1"/>
        </w:rPr>
        <w:t xml:space="preserve">og handlingsrommet for egenbetaling </w:t>
      </w:r>
      <w:r w:rsidRPr="00C85B61">
        <w:rPr>
          <w:color w:val="000000" w:themeColor="text1"/>
        </w:rPr>
        <w:t>oppsummeres slik:</w:t>
      </w:r>
    </w:p>
    <w:p w14:paraId="2195574D" w14:textId="580936AA" w:rsidR="00CF5A54" w:rsidRDefault="00CF5A54" w:rsidP="00CF5A54">
      <w:pPr>
        <w:rPr>
          <w:rFonts w:eastAsiaTheme="majorEastAsia"/>
          <w:color w:val="000000" w:themeColor="text1"/>
        </w:rPr>
      </w:pPr>
      <w:r w:rsidRPr="00C85B61">
        <w:rPr>
          <w:rFonts w:eastAsiaTheme="majorEastAsia"/>
          <w:color w:val="000000" w:themeColor="text1"/>
        </w:rPr>
        <w:t xml:space="preserve">Unntakene i </w:t>
      </w:r>
      <w:r w:rsidR="00482D04">
        <w:rPr>
          <w:rFonts w:eastAsiaTheme="majorEastAsia"/>
          <w:color w:val="000000" w:themeColor="text1"/>
        </w:rPr>
        <w:t xml:space="preserve">egenbetalingsforskriften </w:t>
      </w:r>
      <w:r w:rsidRPr="00C85B61">
        <w:rPr>
          <w:rFonts w:eastAsiaTheme="majorEastAsia"/>
          <w:color w:val="000000" w:themeColor="text1"/>
        </w:rPr>
        <w:t xml:space="preserve">§ 3-2 (1) kan klassifiseres i økonomisk og ikke-økonomisk aktivitet som </w:t>
      </w:r>
      <w:r w:rsidR="00482D04">
        <w:rPr>
          <w:rFonts w:eastAsiaTheme="majorEastAsia"/>
          <w:color w:val="000000" w:themeColor="text1"/>
        </w:rPr>
        <w:t xml:space="preserve">vist </w:t>
      </w:r>
      <w:r w:rsidRPr="00C85B61">
        <w:rPr>
          <w:rFonts w:eastAsiaTheme="majorEastAsia"/>
          <w:color w:val="000000" w:themeColor="text1"/>
        </w:rPr>
        <w:t>i tabell 4.</w:t>
      </w:r>
      <w:r w:rsidRPr="00074B01">
        <w:rPr>
          <w:rFonts w:eastAsiaTheme="majorEastAsia"/>
          <w:color w:val="000000" w:themeColor="text1"/>
        </w:rPr>
        <w:t xml:space="preserve"> Unntak a og d vil </w:t>
      </w:r>
      <w:r w:rsidRPr="00991DA5">
        <w:rPr>
          <w:rFonts w:eastAsiaTheme="majorEastAsia"/>
          <w:i/>
          <w:color w:val="000000" w:themeColor="text1"/>
        </w:rPr>
        <w:t>alltid</w:t>
      </w:r>
      <w:r w:rsidRPr="00074B01">
        <w:rPr>
          <w:rFonts w:eastAsiaTheme="majorEastAsia"/>
          <w:color w:val="000000" w:themeColor="text1"/>
        </w:rPr>
        <w:t xml:space="preserve"> være økonomisk aktivitet. For unntak b og c kan institusjonene </w:t>
      </w:r>
      <w:r w:rsidR="00482D04">
        <w:rPr>
          <w:rFonts w:eastAsiaTheme="majorEastAsia"/>
          <w:color w:val="000000" w:themeColor="text1"/>
        </w:rPr>
        <w:t xml:space="preserve">selv </w:t>
      </w:r>
      <w:r w:rsidRPr="00074B01">
        <w:rPr>
          <w:rFonts w:eastAsiaTheme="majorEastAsia"/>
          <w:color w:val="000000" w:themeColor="text1"/>
        </w:rPr>
        <w:t>velge å klassifisere aktiviteten som økonomisk aktivitet eller ikke-økonomisk aktivitet. Grensene for egenbetaling avhenger av klassifisering som vist i tabellen.</w:t>
      </w:r>
    </w:p>
    <w:tbl>
      <w:tblPr>
        <w:tblStyle w:val="Tabellrutenett"/>
        <w:tblW w:w="8791" w:type="dxa"/>
        <w:tblLook w:val="04A0" w:firstRow="1" w:lastRow="0" w:firstColumn="1" w:lastColumn="0" w:noHBand="0" w:noVBand="1"/>
      </w:tblPr>
      <w:tblGrid>
        <w:gridCol w:w="2830"/>
        <w:gridCol w:w="1276"/>
        <w:gridCol w:w="1418"/>
        <w:gridCol w:w="3267"/>
      </w:tblGrid>
      <w:tr w:rsidR="00441810" w:rsidRPr="008D5E47" w14:paraId="001D5ADA" w14:textId="77777777" w:rsidTr="0092769A">
        <w:trPr>
          <w:trHeight w:val="759"/>
        </w:trPr>
        <w:tc>
          <w:tcPr>
            <w:tcW w:w="2830" w:type="dxa"/>
          </w:tcPr>
          <w:p w14:paraId="743904E2" w14:textId="77777777" w:rsidR="00441810" w:rsidRPr="00881966" w:rsidRDefault="00441810" w:rsidP="0092769A">
            <w:r w:rsidRPr="00881966">
              <w:rPr>
                <w:rFonts w:asciiTheme="minorHAnsi" w:eastAsiaTheme="majorEastAsia" w:hAnsiTheme="minorHAnsi" w:cstheme="minorHAnsi"/>
                <w:b/>
                <w:color w:val="000000" w:themeColor="text1"/>
                <w:sz w:val="22"/>
                <w:szCs w:val="22"/>
              </w:rPr>
              <w:t>Unntak i § 3-2 (1):</w:t>
            </w:r>
          </w:p>
        </w:tc>
        <w:tc>
          <w:tcPr>
            <w:tcW w:w="1276" w:type="dxa"/>
          </w:tcPr>
          <w:p w14:paraId="4A7D408C" w14:textId="77777777" w:rsidR="00441810" w:rsidRPr="00881966" w:rsidRDefault="00441810" w:rsidP="0092769A">
            <w:r w:rsidRPr="00881966">
              <w:rPr>
                <w:rFonts w:asciiTheme="minorHAnsi" w:eastAsiaTheme="majorEastAsia" w:hAnsiTheme="minorHAnsi" w:cstheme="minorHAnsi"/>
                <w:b/>
                <w:color w:val="000000" w:themeColor="text1"/>
                <w:sz w:val="22"/>
                <w:szCs w:val="22"/>
              </w:rPr>
              <w:t>Ikke-økonomisk aktivitet</w:t>
            </w:r>
          </w:p>
        </w:tc>
        <w:tc>
          <w:tcPr>
            <w:tcW w:w="1418" w:type="dxa"/>
          </w:tcPr>
          <w:p w14:paraId="42220ACF" w14:textId="77777777" w:rsidR="00441810" w:rsidRPr="00881966" w:rsidRDefault="00441810" w:rsidP="0092769A">
            <w:r w:rsidRPr="00881966">
              <w:rPr>
                <w:rFonts w:asciiTheme="minorHAnsi" w:eastAsiaTheme="majorEastAsia" w:hAnsiTheme="minorHAnsi" w:cstheme="minorHAnsi"/>
                <w:b/>
                <w:color w:val="000000" w:themeColor="text1"/>
                <w:sz w:val="22"/>
                <w:szCs w:val="22"/>
              </w:rPr>
              <w:t>Økonomisk aktivitet</w:t>
            </w:r>
          </w:p>
        </w:tc>
        <w:tc>
          <w:tcPr>
            <w:tcW w:w="3267" w:type="dxa"/>
          </w:tcPr>
          <w:p w14:paraId="2F0579C6" w14:textId="77777777" w:rsidR="00441810" w:rsidRPr="00881966" w:rsidRDefault="00441810" w:rsidP="0092769A">
            <w:r w:rsidRPr="00881966">
              <w:rPr>
                <w:rFonts w:asciiTheme="minorHAnsi" w:eastAsiaTheme="majorEastAsia" w:hAnsiTheme="minorHAnsi" w:cstheme="minorHAnsi"/>
                <w:b/>
                <w:color w:val="000000" w:themeColor="text1"/>
                <w:sz w:val="22"/>
                <w:szCs w:val="22"/>
              </w:rPr>
              <w:t>Egenbetaling (studentbetaling)</w:t>
            </w:r>
          </w:p>
        </w:tc>
      </w:tr>
      <w:tr w:rsidR="00441810" w:rsidRPr="008D5E47" w14:paraId="6F37432D" w14:textId="77777777" w:rsidTr="0092769A">
        <w:trPr>
          <w:trHeight w:val="765"/>
        </w:trPr>
        <w:tc>
          <w:tcPr>
            <w:tcW w:w="2830" w:type="dxa"/>
          </w:tcPr>
          <w:p w14:paraId="01332056" w14:textId="241C1CC3" w:rsidR="00441810" w:rsidRPr="00881966" w:rsidRDefault="00441810" w:rsidP="00424C22">
            <w:pPr>
              <w:pStyle w:val="Listeavsnitt"/>
              <w:numPr>
                <w:ilvl w:val="0"/>
                <w:numId w:val="52"/>
              </w:numPr>
            </w:pPr>
            <w:r w:rsidRPr="00424C22">
              <w:rPr>
                <w:rFonts w:asciiTheme="minorHAnsi" w:eastAsiaTheme="majorEastAsia" w:hAnsiTheme="minorHAnsi" w:cstheme="minorHAnsi"/>
                <w:b/>
                <w:color w:val="000000" w:themeColor="text1"/>
                <w:sz w:val="22"/>
                <w:szCs w:val="22"/>
              </w:rPr>
              <w:t>Kurs</w:t>
            </w:r>
          </w:p>
        </w:tc>
        <w:tc>
          <w:tcPr>
            <w:tcW w:w="1276" w:type="dxa"/>
          </w:tcPr>
          <w:p w14:paraId="216C2D21" w14:textId="77777777" w:rsidR="00441810" w:rsidRPr="008D5E47" w:rsidRDefault="00441810" w:rsidP="0092769A">
            <w:pPr>
              <w:jc w:val="center"/>
              <w:rPr>
                <w:rFonts w:asciiTheme="minorHAnsi" w:eastAsiaTheme="majorEastAsia" w:hAnsiTheme="minorHAnsi" w:cstheme="minorHAnsi"/>
                <w:color w:val="000000" w:themeColor="text1"/>
                <w:sz w:val="22"/>
                <w:szCs w:val="22"/>
              </w:rPr>
            </w:pPr>
          </w:p>
        </w:tc>
        <w:tc>
          <w:tcPr>
            <w:tcW w:w="1418" w:type="dxa"/>
          </w:tcPr>
          <w:p w14:paraId="4E0C2171" w14:textId="77777777" w:rsidR="00441810" w:rsidRPr="008D5E47" w:rsidRDefault="00441810" w:rsidP="0092769A">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p w14:paraId="426BD207" w14:textId="77777777" w:rsidR="00441810" w:rsidRPr="008D5E47" w:rsidRDefault="00441810" w:rsidP="0092769A">
            <w:pPr>
              <w:rPr>
                <w:rFonts w:asciiTheme="minorHAnsi" w:eastAsiaTheme="majorEastAsia" w:hAnsiTheme="minorHAnsi" w:cstheme="minorHAnsi"/>
                <w:color w:val="000000" w:themeColor="text1"/>
                <w:sz w:val="22"/>
                <w:szCs w:val="22"/>
              </w:rPr>
            </w:pPr>
          </w:p>
        </w:tc>
        <w:tc>
          <w:tcPr>
            <w:tcW w:w="3267" w:type="dxa"/>
          </w:tcPr>
          <w:p w14:paraId="3D65388D" w14:textId="77777777" w:rsidR="00441810" w:rsidRPr="00881966" w:rsidRDefault="00441810" w:rsidP="0092769A">
            <w:r w:rsidRPr="00881966">
              <w:rPr>
                <w:rFonts w:asciiTheme="minorHAnsi" w:eastAsiaTheme="majorEastAsia" w:hAnsiTheme="minorHAnsi" w:cstheme="minorHAnsi"/>
                <w:color w:val="000000" w:themeColor="text1"/>
                <w:sz w:val="22"/>
                <w:szCs w:val="22"/>
              </w:rPr>
              <w:t xml:space="preserve">100 % av totale kostnader pluss margin for fortjeneste </w:t>
            </w:r>
          </w:p>
        </w:tc>
      </w:tr>
      <w:tr w:rsidR="00441810" w:rsidRPr="008D5E47" w14:paraId="0B6292CD" w14:textId="77777777" w:rsidTr="0092769A">
        <w:trPr>
          <w:trHeight w:val="1519"/>
        </w:trPr>
        <w:tc>
          <w:tcPr>
            <w:tcW w:w="2830" w:type="dxa"/>
          </w:tcPr>
          <w:p w14:paraId="3618F9E7" w14:textId="57C60E40" w:rsidR="00441810" w:rsidRPr="00881966" w:rsidRDefault="00441810" w:rsidP="00424C22">
            <w:pPr>
              <w:pStyle w:val="Listeavsnitt"/>
              <w:numPr>
                <w:ilvl w:val="0"/>
                <w:numId w:val="52"/>
              </w:numPr>
            </w:pPr>
            <w:r w:rsidRPr="00424C22">
              <w:rPr>
                <w:rFonts w:asciiTheme="minorHAnsi" w:eastAsiaTheme="majorEastAsia" w:hAnsiTheme="minorHAnsi" w:cstheme="minorHAnsi"/>
                <w:b/>
                <w:color w:val="000000" w:themeColor="text1"/>
                <w:sz w:val="22"/>
                <w:szCs w:val="22"/>
              </w:rPr>
              <w:t>Fag/emner som normalt ikke er en del av studieprogram som fører fram til grad eller yrkesutdanning</w:t>
            </w:r>
          </w:p>
        </w:tc>
        <w:tc>
          <w:tcPr>
            <w:tcW w:w="1276" w:type="dxa"/>
          </w:tcPr>
          <w:p w14:paraId="7737E3C3" w14:textId="77777777" w:rsidR="00441810" w:rsidRPr="008D5E47" w:rsidRDefault="00441810" w:rsidP="0092769A">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tc>
        <w:tc>
          <w:tcPr>
            <w:tcW w:w="1418" w:type="dxa"/>
          </w:tcPr>
          <w:p w14:paraId="3629AFAB" w14:textId="77777777" w:rsidR="00441810" w:rsidRPr="008D5E47" w:rsidRDefault="00441810" w:rsidP="0092769A">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tc>
        <w:tc>
          <w:tcPr>
            <w:tcW w:w="3267" w:type="dxa"/>
          </w:tcPr>
          <w:p w14:paraId="78450876" w14:textId="77777777" w:rsidR="00441810" w:rsidRPr="00881966" w:rsidRDefault="00441810" w:rsidP="0092769A">
            <w:r w:rsidRPr="00881966">
              <w:rPr>
                <w:rFonts w:asciiTheme="minorHAnsi" w:eastAsiaTheme="majorEastAsia" w:hAnsiTheme="minorHAnsi" w:cstheme="minorHAnsi"/>
                <w:iCs/>
                <w:color w:val="000000" w:themeColor="text1"/>
                <w:sz w:val="22"/>
                <w:szCs w:val="22"/>
              </w:rPr>
              <w:t xml:space="preserve">Kan velge </w:t>
            </w:r>
            <w:r w:rsidRPr="00881966">
              <w:rPr>
                <w:rFonts w:asciiTheme="minorHAnsi" w:eastAsiaTheme="majorEastAsia" w:hAnsiTheme="minorHAnsi" w:cstheme="minorHAnsi"/>
                <w:i/>
                <w:iCs/>
                <w:color w:val="000000" w:themeColor="text1"/>
                <w:sz w:val="22"/>
                <w:szCs w:val="22"/>
              </w:rPr>
              <w:t>enten</w:t>
            </w:r>
            <w:r w:rsidRPr="00881966">
              <w:rPr>
                <w:rFonts w:asciiTheme="minorHAnsi" w:eastAsiaTheme="majorEastAsia" w:hAnsiTheme="minorHAnsi" w:cstheme="minorHAnsi"/>
                <w:iCs/>
                <w:color w:val="000000" w:themeColor="text1"/>
                <w:sz w:val="22"/>
                <w:szCs w:val="22"/>
              </w:rPr>
              <w:t xml:space="preserve"> inntil 49 % av totale kostnader (ikke-økonomisk aktivitet), </w:t>
            </w:r>
            <w:r w:rsidRPr="00881966">
              <w:rPr>
                <w:rFonts w:asciiTheme="minorHAnsi" w:eastAsiaTheme="majorEastAsia" w:hAnsiTheme="minorHAnsi" w:cstheme="minorHAnsi"/>
                <w:i/>
                <w:iCs/>
                <w:color w:val="000000" w:themeColor="text1"/>
                <w:sz w:val="22"/>
                <w:szCs w:val="22"/>
              </w:rPr>
              <w:t>eller</w:t>
            </w:r>
            <w:r w:rsidRPr="00881966">
              <w:rPr>
                <w:rFonts w:asciiTheme="minorHAnsi" w:eastAsiaTheme="majorEastAsia" w:hAnsiTheme="minorHAnsi" w:cstheme="minorHAnsi"/>
                <w:iCs/>
                <w:color w:val="000000" w:themeColor="text1"/>
                <w:sz w:val="22"/>
                <w:szCs w:val="22"/>
              </w:rPr>
              <w:t xml:space="preserve"> 100 % av totale kostnader pluss margin for fortjeneste (økonomisk aktivitet)</w:t>
            </w:r>
          </w:p>
        </w:tc>
      </w:tr>
      <w:tr w:rsidR="00441810" w:rsidRPr="008D5E47" w14:paraId="60BA2603" w14:textId="77777777" w:rsidTr="0092769A">
        <w:trPr>
          <w:trHeight w:val="1519"/>
        </w:trPr>
        <w:tc>
          <w:tcPr>
            <w:tcW w:w="2830" w:type="dxa"/>
          </w:tcPr>
          <w:p w14:paraId="5FA686BB" w14:textId="77777777" w:rsidR="00441810" w:rsidRPr="00881966" w:rsidRDefault="00441810" w:rsidP="00424C22">
            <w:pPr>
              <w:pStyle w:val="Listeavsnitt"/>
              <w:numPr>
                <w:ilvl w:val="0"/>
                <w:numId w:val="52"/>
              </w:numPr>
            </w:pPr>
            <w:r w:rsidRPr="00881966">
              <w:rPr>
                <w:rFonts w:asciiTheme="minorHAnsi" w:eastAsiaTheme="majorEastAsia" w:hAnsiTheme="minorHAnsi" w:cstheme="minorHAnsi"/>
                <w:b/>
                <w:color w:val="000000" w:themeColor="text1"/>
                <w:sz w:val="22"/>
                <w:szCs w:val="22"/>
              </w:rPr>
              <w:t>Erfaringsbaserte mastergradsstudier</w:t>
            </w:r>
          </w:p>
          <w:p w14:paraId="128B9FFC" w14:textId="77777777" w:rsidR="00441810" w:rsidRPr="008D5E47" w:rsidRDefault="00441810" w:rsidP="0092769A">
            <w:pPr>
              <w:rPr>
                <w:rFonts w:asciiTheme="minorHAnsi" w:eastAsiaTheme="majorEastAsia" w:hAnsiTheme="minorHAnsi" w:cstheme="minorHAnsi"/>
                <w:b/>
                <w:color w:val="000000" w:themeColor="text1"/>
                <w:sz w:val="22"/>
                <w:szCs w:val="22"/>
              </w:rPr>
            </w:pPr>
          </w:p>
        </w:tc>
        <w:tc>
          <w:tcPr>
            <w:tcW w:w="1276" w:type="dxa"/>
          </w:tcPr>
          <w:p w14:paraId="1185372E" w14:textId="77777777" w:rsidR="00441810" w:rsidRPr="008D5E47" w:rsidRDefault="00441810" w:rsidP="0092769A">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tc>
        <w:tc>
          <w:tcPr>
            <w:tcW w:w="1418" w:type="dxa"/>
          </w:tcPr>
          <w:p w14:paraId="3EA28EC4" w14:textId="77777777" w:rsidR="00441810" w:rsidRPr="008D5E47" w:rsidRDefault="00441810" w:rsidP="0092769A">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tc>
        <w:tc>
          <w:tcPr>
            <w:tcW w:w="3267" w:type="dxa"/>
          </w:tcPr>
          <w:p w14:paraId="7D4BD1BC" w14:textId="77777777" w:rsidR="00441810" w:rsidRPr="00881966" w:rsidRDefault="00441810" w:rsidP="0092769A">
            <w:r w:rsidRPr="00881966">
              <w:rPr>
                <w:rFonts w:asciiTheme="minorHAnsi" w:eastAsiaTheme="majorEastAsia" w:hAnsiTheme="minorHAnsi" w:cstheme="minorHAnsi"/>
                <w:iCs/>
                <w:color w:val="000000" w:themeColor="text1"/>
                <w:sz w:val="22"/>
                <w:szCs w:val="22"/>
              </w:rPr>
              <w:t xml:space="preserve">Kan velge </w:t>
            </w:r>
            <w:r w:rsidRPr="00881966">
              <w:rPr>
                <w:rFonts w:asciiTheme="minorHAnsi" w:eastAsiaTheme="majorEastAsia" w:hAnsiTheme="minorHAnsi" w:cstheme="minorHAnsi"/>
                <w:i/>
                <w:iCs/>
                <w:color w:val="000000" w:themeColor="text1"/>
                <w:sz w:val="22"/>
                <w:szCs w:val="22"/>
              </w:rPr>
              <w:t>enten</w:t>
            </w:r>
            <w:r w:rsidRPr="00881966">
              <w:rPr>
                <w:rFonts w:asciiTheme="minorHAnsi" w:eastAsiaTheme="majorEastAsia" w:hAnsiTheme="minorHAnsi" w:cstheme="minorHAnsi"/>
                <w:iCs/>
                <w:color w:val="000000" w:themeColor="text1"/>
                <w:sz w:val="22"/>
                <w:szCs w:val="22"/>
              </w:rPr>
              <w:t xml:space="preserve"> inntil 49 % av totale kostnader (ikke-økonomisk aktivitet), </w:t>
            </w:r>
            <w:r w:rsidRPr="00881966">
              <w:rPr>
                <w:rFonts w:asciiTheme="minorHAnsi" w:eastAsiaTheme="majorEastAsia" w:hAnsiTheme="minorHAnsi" w:cstheme="minorHAnsi"/>
                <w:i/>
                <w:iCs/>
                <w:color w:val="000000" w:themeColor="text1"/>
                <w:sz w:val="22"/>
                <w:szCs w:val="22"/>
              </w:rPr>
              <w:t xml:space="preserve">eller </w:t>
            </w:r>
            <w:r w:rsidRPr="00881966">
              <w:rPr>
                <w:rFonts w:asciiTheme="minorHAnsi" w:eastAsiaTheme="majorEastAsia" w:hAnsiTheme="minorHAnsi" w:cstheme="minorHAnsi"/>
                <w:iCs/>
                <w:color w:val="000000" w:themeColor="text1"/>
                <w:sz w:val="22"/>
                <w:szCs w:val="22"/>
              </w:rPr>
              <w:t>100 % av totale kostnader pluss margin for fortjeneste (økonomisk aktivitet)</w:t>
            </w:r>
          </w:p>
        </w:tc>
      </w:tr>
      <w:tr w:rsidR="00441810" w:rsidRPr="008D5E47" w14:paraId="6D8D655A" w14:textId="77777777" w:rsidTr="0092769A">
        <w:trPr>
          <w:trHeight w:val="1275"/>
        </w:trPr>
        <w:tc>
          <w:tcPr>
            <w:tcW w:w="2830" w:type="dxa"/>
          </w:tcPr>
          <w:p w14:paraId="60511FB9" w14:textId="77777777" w:rsidR="00441810" w:rsidRPr="00881966" w:rsidRDefault="00441810" w:rsidP="00424C22">
            <w:pPr>
              <w:pStyle w:val="Listeavsnitt"/>
              <w:numPr>
                <w:ilvl w:val="0"/>
                <w:numId w:val="52"/>
              </w:numPr>
            </w:pPr>
            <w:r w:rsidRPr="00881966">
              <w:rPr>
                <w:rFonts w:asciiTheme="minorHAnsi" w:eastAsiaTheme="majorEastAsia" w:hAnsiTheme="minorHAnsi" w:cstheme="minorHAnsi"/>
                <w:b/>
                <w:color w:val="000000" w:themeColor="text1"/>
                <w:sz w:val="22"/>
                <w:szCs w:val="22"/>
              </w:rPr>
              <w:t>Studenter som fyller opp ledige plasser på studieprogram eller fag/emner som er oppdragsfinansiert</w:t>
            </w:r>
          </w:p>
        </w:tc>
        <w:tc>
          <w:tcPr>
            <w:tcW w:w="1276" w:type="dxa"/>
          </w:tcPr>
          <w:p w14:paraId="233AE5DC" w14:textId="77777777" w:rsidR="00441810" w:rsidRPr="008D5E47" w:rsidRDefault="00441810" w:rsidP="0092769A">
            <w:pPr>
              <w:jc w:val="center"/>
              <w:rPr>
                <w:rFonts w:asciiTheme="minorHAnsi" w:eastAsiaTheme="majorEastAsia" w:hAnsiTheme="minorHAnsi" w:cstheme="minorHAnsi"/>
                <w:color w:val="000000" w:themeColor="text1"/>
                <w:sz w:val="22"/>
                <w:szCs w:val="22"/>
              </w:rPr>
            </w:pPr>
          </w:p>
        </w:tc>
        <w:tc>
          <w:tcPr>
            <w:tcW w:w="1418" w:type="dxa"/>
          </w:tcPr>
          <w:p w14:paraId="2590E0BF" w14:textId="77777777" w:rsidR="00441810" w:rsidRPr="008D5E47" w:rsidRDefault="00441810" w:rsidP="0092769A">
            <w:pPr>
              <w:jc w:val="center"/>
              <w:rPr>
                <w:rFonts w:asciiTheme="minorHAnsi" w:eastAsiaTheme="minorEastAsia" w:hAnsiTheme="minorHAnsi" w:cstheme="minorBidi"/>
                <w:color w:val="000000" w:themeColor="text1"/>
                <w:sz w:val="22"/>
                <w:szCs w:val="22"/>
              </w:rPr>
            </w:pPr>
            <w:proofErr w:type="spellStart"/>
            <w:r w:rsidRPr="1AE49FCB">
              <w:rPr>
                <w:rFonts w:asciiTheme="minorHAnsi" w:eastAsiaTheme="minorEastAsia" w:hAnsiTheme="minorHAnsi" w:cstheme="minorBidi"/>
                <w:color w:val="000000" w:themeColor="text1"/>
                <w:sz w:val="22"/>
                <w:szCs w:val="22"/>
              </w:rPr>
              <w:t>X</w:t>
            </w:r>
            <w:proofErr w:type="spellEnd"/>
          </w:p>
          <w:p w14:paraId="420ABF3A" w14:textId="77777777" w:rsidR="00441810" w:rsidRPr="008D5E47" w:rsidRDefault="00441810" w:rsidP="0092769A">
            <w:pPr>
              <w:jc w:val="center"/>
              <w:rPr>
                <w:rFonts w:asciiTheme="minorHAnsi" w:eastAsiaTheme="majorEastAsia" w:hAnsiTheme="minorHAnsi" w:cstheme="minorHAnsi"/>
                <w:color w:val="000000" w:themeColor="text1"/>
                <w:sz w:val="22"/>
                <w:szCs w:val="22"/>
              </w:rPr>
            </w:pPr>
          </w:p>
        </w:tc>
        <w:tc>
          <w:tcPr>
            <w:tcW w:w="3267" w:type="dxa"/>
          </w:tcPr>
          <w:p w14:paraId="3156E49F" w14:textId="77777777" w:rsidR="00441810" w:rsidRPr="00881966" w:rsidRDefault="00441810" w:rsidP="0092769A">
            <w:r w:rsidRPr="00881966">
              <w:rPr>
                <w:rFonts w:asciiTheme="minorHAnsi" w:eastAsiaTheme="majorEastAsia" w:hAnsiTheme="minorHAnsi" w:cstheme="minorHAnsi"/>
                <w:color w:val="000000" w:themeColor="text1"/>
                <w:sz w:val="22"/>
                <w:szCs w:val="22"/>
              </w:rPr>
              <w:t>100 % av totale kostnader pluss margin for fortjeneste</w:t>
            </w:r>
          </w:p>
        </w:tc>
      </w:tr>
    </w:tbl>
    <w:p w14:paraId="085EA863" w14:textId="22AA91B1" w:rsidR="009A0E8B" w:rsidRPr="009A0E8B" w:rsidRDefault="009A0E8B" w:rsidP="00441810">
      <w:pPr>
        <w:rPr>
          <w:rFonts w:asciiTheme="minorHAnsi" w:eastAsiaTheme="minorEastAsia" w:hAnsiTheme="minorHAnsi" w:cstheme="minorBidi"/>
          <w:sz w:val="4"/>
          <w:szCs w:val="22"/>
          <w:lang w:eastAsia="en-US"/>
        </w:rPr>
      </w:pPr>
    </w:p>
    <w:p w14:paraId="2B3DEF23" w14:textId="19D7D6F8" w:rsidR="00CF5A54" w:rsidRPr="009A0E8B" w:rsidRDefault="009A0E8B" w:rsidP="009A0E8B">
      <w:pPr>
        <w:spacing w:after="160" w:afterAutospacing="0" w:line="259" w:lineRule="auto"/>
        <w:rPr>
          <w:rFonts w:asciiTheme="minorHAnsi" w:eastAsiaTheme="minorEastAsia" w:hAnsiTheme="minorHAnsi" w:cstheme="minorBidi"/>
          <w:sz w:val="22"/>
          <w:szCs w:val="22"/>
          <w:lang w:eastAsia="en-US"/>
        </w:rPr>
      </w:pPr>
      <w:r w:rsidRPr="009A0E8B">
        <w:rPr>
          <w:rFonts w:asciiTheme="minorHAnsi" w:eastAsiaTheme="minorEastAsia" w:hAnsiTheme="minorHAnsi" w:cstheme="minorBidi"/>
          <w:sz w:val="22"/>
          <w:szCs w:val="22"/>
          <w:lang w:eastAsia="en-US"/>
        </w:rPr>
        <w:t>T</w:t>
      </w:r>
      <w:r w:rsidR="00CF5A54" w:rsidRPr="009A0E8B">
        <w:rPr>
          <w:rFonts w:asciiTheme="minorHAnsi" w:eastAsiaTheme="minorEastAsia" w:hAnsiTheme="minorHAnsi" w:cstheme="minorBidi"/>
          <w:sz w:val="22"/>
          <w:szCs w:val="22"/>
          <w:lang w:eastAsia="en-US"/>
        </w:rPr>
        <w:t>abell 4: Klassifisering av unntakene i egenbetalingsforskriften i kategoriene økonomisk og ikke-økonomisk aktivitet, og handlingsrom for egenbetaling gitt av statsstøtteregelverket.</w:t>
      </w:r>
    </w:p>
    <w:p w14:paraId="78E93219" w14:textId="77777777" w:rsidR="006228B7" w:rsidRDefault="0013183E" w:rsidP="00482D04">
      <w:pPr>
        <w:rPr>
          <w:rFonts w:eastAsiaTheme="majorEastAsia"/>
          <w:color w:val="000000" w:themeColor="text1"/>
        </w:rPr>
      </w:pPr>
      <w:r>
        <w:rPr>
          <w:rFonts w:eastAsiaTheme="majorEastAsia"/>
          <w:color w:val="000000" w:themeColor="text1"/>
        </w:rPr>
        <w:t xml:space="preserve">For </w:t>
      </w:r>
      <w:r w:rsidRPr="0013183E">
        <w:rPr>
          <w:rFonts w:eastAsiaTheme="majorEastAsia"/>
          <w:i/>
          <w:color w:val="000000" w:themeColor="text1"/>
        </w:rPr>
        <w:t>ikke-økonomisk aktivitet</w:t>
      </w:r>
      <w:r>
        <w:rPr>
          <w:rFonts w:eastAsiaTheme="majorEastAsia"/>
          <w:color w:val="000000" w:themeColor="text1"/>
        </w:rPr>
        <w:t xml:space="preserve"> beny</w:t>
      </w:r>
      <w:r w:rsidR="00991DA5">
        <w:rPr>
          <w:rFonts w:eastAsiaTheme="majorEastAsia"/>
          <w:color w:val="000000" w:themeColor="text1"/>
        </w:rPr>
        <w:t>ttes KDs finansieringskategori som anslag for kostnader.</w:t>
      </w:r>
    </w:p>
    <w:p w14:paraId="3E83FF33" w14:textId="5ADA0470" w:rsidR="00482D04" w:rsidRDefault="28257F58" w:rsidP="28257F58">
      <w:pPr>
        <w:rPr>
          <w:rFonts w:asciiTheme="majorEastAsia" w:eastAsiaTheme="majorEastAsia" w:hAnsiTheme="majorEastAsia" w:cstheme="majorEastAsia"/>
          <w:color w:val="000000" w:themeColor="text1"/>
        </w:rPr>
      </w:pPr>
      <w:r w:rsidRPr="28257F58">
        <w:rPr>
          <w:rFonts w:asciiTheme="majorEastAsia" w:eastAsiaTheme="majorEastAsia" w:hAnsiTheme="majorEastAsia" w:cstheme="majorEastAsia"/>
          <w:color w:val="000000" w:themeColor="text1"/>
        </w:rPr>
        <w:t xml:space="preserve">For </w:t>
      </w:r>
      <w:r w:rsidRPr="46D54BE2">
        <w:rPr>
          <w:rFonts w:asciiTheme="majorEastAsia" w:eastAsiaTheme="majorEastAsia" w:hAnsiTheme="majorEastAsia" w:cstheme="majorEastAsia"/>
          <w:i/>
          <w:iCs/>
          <w:color w:val="000000" w:themeColor="text1"/>
        </w:rPr>
        <w:t xml:space="preserve">økonomisk aktivitet </w:t>
      </w:r>
      <w:r w:rsidRPr="28257F58">
        <w:rPr>
          <w:rFonts w:asciiTheme="majorEastAsia" w:eastAsiaTheme="majorEastAsia" w:hAnsiTheme="majorEastAsia" w:cstheme="majorEastAsia"/>
          <w:color w:val="000000" w:themeColor="text1"/>
        </w:rPr>
        <w:t xml:space="preserve">benyttes TDI-modell for kostnadsberegning. Alternativt kan KDs finansieringskategori benyttes for unntak som er studiepoenggivende (b, c og d). </w:t>
      </w:r>
    </w:p>
    <w:p w14:paraId="5D87A229" w14:textId="539A0770" w:rsidR="00FA0E08" w:rsidRDefault="00FA0E08" w:rsidP="00482D04">
      <w:pPr>
        <w:rPr>
          <w:rFonts w:eastAsiaTheme="majorEastAsia"/>
          <w:color w:val="000000" w:themeColor="text1"/>
        </w:rPr>
      </w:pPr>
      <w:r>
        <w:rPr>
          <w:rFonts w:eastAsiaTheme="majorEastAsia"/>
          <w:color w:val="000000" w:themeColor="text1"/>
        </w:rPr>
        <w:t xml:space="preserve">Det blir opp til den enkelte institusjon å vurdere om handlingsrommet for egenbetaling skal utnyttes og i hvilken grad. </w:t>
      </w:r>
    </w:p>
    <w:p w14:paraId="3232B7C9" w14:textId="2E398340" w:rsidR="00FC7248" w:rsidRPr="00FC7248" w:rsidRDefault="00FC7248" w:rsidP="00FC7248">
      <w:pPr>
        <w:pStyle w:val="Overskrift2"/>
        <w:numPr>
          <w:ilvl w:val="0"/>
          <w:numId w:val="23"/>
        </w:numPr>
      </w:pPr>
      <w:bookmarkStart w:id="28" w:name="_Toc516731437"/>
      <w:r w:rsidRPr="00FC7248">
        <w:lastRenderedPageBreak/>
        <w:t>Anbefalinger for videre arbeid</w:t>
      </w:r>
      <w:bookmarkEnd w:id="28"/>
    </w:p>
    <w:p w14:paraId="61388E17" w14:textId="3B04620F" w:rsidR="00FC7248" w:rsidRPr="00FC7248" w:rsidRDefault="00FC7248" w:rsidP="00FC7248">
      <w:pPr>
        <w:pStyle w:val="Overskrift3"/>
        <w:numPr>
          <w:ilvl w:val="1"/>
          <w:numId w:val="23"/>
        </w:numPr>
        <w:rPr>
          <w:color w:val="000000" w:themeColor="text1"/>
        </w:rPr>
      </w:pPr>
      <w:bookmarkStart w:id="29" w:name="_Toc516731438"/>
      <w:r w:rsidRPr="00FC7248">
        <w:rPr>
          <w:color w:val="000000" w:themeColor="text1"/>
        </w:rPr>
        <w:t>Hva bør institusjonene gjøre som følge av dette arbeidet?</w:t>
      </w:r>
      <w:bookmarkEnd w:id="29"/>
    </w:p>
    <w:p w14:paraId="51B002DD" w14:textId="77777777" w:rsidR="00FC7248" w:rsidRPr="00FC7248" w:rsidRDefault="00FC7248" w:rsidP="00FC7248">
      <w:pPr>
        <w:pStyle w:val="Listeavsnitt"/>
        <w:numPr>
          <w:ilvl w:val="0"/>
          <w:numId w:val="45"/>
        </w:numPr>
        <w:rPr>
          <w:rFonts w:eastAsiaTheme="majorEastAsia" w:cstheme="majorBidi"/>
          <w:color w:val="000000" w:themeColor="text1"/>
          <w:szCs w:val="24"/>
        </w:rPr>
      </w:pPr>
      <w:r w:rsidRPr="00FC7248">
        <w:rPr>
          <w:rFonts w:eastAsiaTheme="majorEastAsia" w:cstheme="majorBidi"/>
          <w:color w:val="000000" w:themeColor="text1"/>
          <w:szCs w:val="24"/>
        </w:rPr>
        <w:t>Vurdere om tilbudene som det tas egenbetaling for, er innenfor unntakene i egenbetalingsforskriften (a-d). Unntak b bør vurderes spesielt.</w:t>
      </w:r>
    </w:p>
    <w:p w14:paraId="686AB173" w14:textId="77777777" w:rsidR="00FC7248" w:rsidRPr="00FC7248" w:rsidRDefault="00FC7248" w:rsidP="00FC7248">
      <w:pPr>
        <w:pStyle w:val="Listeavsnitt"/>
        <w:numPr>
          <w:ilvl w:val="0"/>
          <w:numId w:val="45"/>
        </w:numPr>
        <w:rPr>
          <w:rFonts w:eastAsiaTheme="majorEastAsia" w:cstheme="majorBidi"/>
          <w:color w:val="000000" w:themeColor="text1"/>
          <w:szCs w:val="24"/>
        </w:rPr>
      </w:pPr>
      <w:r w:rsidRPr="00FC7248">
        <w:rPr>
          <w:rFonts w:eastAsiaTheme="majorEastAsia" w:cstheme="majorBidi"/>
          <w:color w:val="000000" w:themeColor="text1"/>
          <w:szCs w:val="24"/>
        </w:rPr>
        <w:t>Vurdere om tilbudene er økonomisk eller ikke-økonomisk aktivitet for å sikre riktig prisberegning.</w:t>
      </w:r>
    </w:p>
    <w:p w14:paraId="60266876" w14:textId="77777777" w:rsidR="00FC7248" w:rsidRPr="00FC7248" w:rsidRDefault="00FC7248" w:rsidP="00FC7248">
      <w:pPr>
        <w:pStyle w:val="Listeavsnitt"/>
        <w:numPr>
          <w:ilvl w:val="0"/>
          <w:numId w:val="45"/>
        </w:numPr>
        <w:rPr>
          <w:rFonts w:eastAsiaTheme="majorEastAsia" w:cstheme="majorBidi"/>
          <w:color w:val="000000" w:themeColor="text1"/>
          <w:szCs w:val="24"/>
        </w:rPr>
      </w:pPr>
      <w:r w:rsidRPr="00FC7248">
        <w:rPr>
          <w:rFonts w:eastAsiaTheme="majorEastAsia" w:cstheme="majorBidi"/>
          <w:color w:val="000000" w:themeColor="text1"/>
          <w:szCs w:val="24"/>
        </w:rPr>
        <w:t>Sikre at egenbetalingen er inntil 49 % av kostnadene for ikke-økonomisk aktivitet (dvs. at egenfinansiering må være minst 51 %).</w:t>
      </w:r>
    </w:p>
    <w:p w14:paraId="3C824EFC" w14:textId="77777777" w:rsidR="00FC7248" w:rsidRPr="00FC7248" w:rsidRDefault="00FC7248" w:rsidP="00FC7248">
      <w:pPr>
        <w:pStyle w:val="Listeavsnitt"/>
        <w:numPr>
          <w:ilvl w:val="0"/>
          <w:numId w:val="45"/>
        </w:numPr>
        <w:rPr>
          <w:rFonts w:eastAsiaTheme="majorEastAsia" w:cstheme="majorBidi"/>
          <w:color w:val="000000" w:themeColor="text1"/>
          <w:szCs w:val="24"/>
        </w:rPr>
      </w:pPr>
      <w:r w:rsidRPr="00FC7248">
        <w:rPr>
          <w:rFonts w:eastAsiaTheme="majorEastAsia" w:cstheme="majorBidi"/>
          <w:color w:val="000000" w:themeColor="text1"/>
          <w:szCs w:val="24"/>
        </w:rPr>
        <w:t>Sikre at egenbetalingen for tilbud som er oppgitt å være 100 % eksternfinansiert (dvs.  økonomisk aktivitet), faktisk dekker 100 % av kostnadene pluss fortjeneste.</w:t>
      </w:r>
    </w:p>
    <w:p w14:paraId="020BCFF2" w14:textId="59A12E10" w:rsidR="00CF5A54" w:rsidRPr="00D54809" w:rsidRDefault="00E123F7" w:rsidP="00D54809">
      <w:pPr>
        <w:pStyle w:val="Overskrift3"/>
        <w:numPr>
          <w:ilvl w:val="1"/>
          <w:numId w:val="23"/>
        </w:numPr>
        <w:rPr>
          <w:color w:val="000000" w:themeColor="text1"/>
        </w:rPr>
      </w:pPr>
      <w:bookmarkStart w:id="30" w:name="_Toc516731439"/>
      <w:r w:rsidRPr="00D54809">
        <w:rPr>
          <w:color w:val="000000" w:themeColor="text1"/>
        </w:rPr>
        <w:t>Innspill til arbeidet med å utforme en strategi for livslang læring</w:t>
      </w:r>
      <w:bookmarkEnd w:id="30"/>
    </w:p>
    <w:p w14:paraId="3CE2CE3D" w14:textId="3647AA6E" w:rsidR="00FC7248" w:rsidRDefault="28257F58" w:rsidP="28257F58">
      <w:pPr>
        <w:rPr>
          <w:color w:val="000000" w:themeColor="text1"/>
        </w:rPr>
      </w:pPr>
      <w:r w:rsidRPr="28257F58">
        <w:rPr>
          <w:color w:val="000000" w:themeColor="text1"/>
        </w:rPr>
        <w:t xml:space="preserve">Arbeidsgruppen har med dette forsøkt å </w:t>
      </w:r>
      <w:r w:rsidR="001E63FF">
        <w:rPr>
          <w:color w:val="000000" w:themeColor="text1"/>
        </w:rPr>
        <w:t>komme frem til</w:t>
      </w:r>
      <w:r w:rsidRPr="28257F58">
        <w:rPr>
          <w:color w:val="000000" w:themeColor="text1"/>
        </w:rPr>
        <w:t xml:space="preserve"> en enhetlig forståelse av det </w:t>
      </w:r>
      <w:r w:rsidR="00FC7248">
        <w:rPr>
          <w:color w:val="000000" w:themeColor="text1"/>
        </w:rPr>
        <w:t xml:space="preserve">gjeldende </w:t>
      </w:r>
      <w:r w:rsidRPr="28257F58">
        <w:rPr>
          <w:color w:val="000000" w:themeColor="text1"/>
        </w:rPr>
        <w:t xml:space="preserve">regelverket som regulerer finansiering av institusjonenes EVU-virksomhet. </w:t>
      </w:r>
    </w:p>
    <w:p w14:paraId="1A3537EB" w14:textId="663AB116" w:rsidR="00E123F7" w:rsidRPr="003913AF" w:rsidRDefault="28257F58" w:rsidP="28257F58">
      <w:pPr>
        <w:rPr>
          <w:rFonts w:asciiTheme="majorEastAsia" w:eastAsiaTheme="majorEastAsia" w:hAnsiTheme="majorEastAsia" w:cstheme="majorEastAsia"/>
          <w:color w:val="000000" w:themeColor="text1"/>
        </w:rPr>
      </w:pPr>
      <w:r w:rsidRPr="28257F58">
        <w:rPr>
          <w:color w:val="000000" w:themeColor="text1"/>
        </w:rPr>
        <w:t>Vi vil anbefale at både det kommende lov</w:t>
      </w:r>
      <w:r w:rsidRPr="28257F58">
        <w:rPr>
          <w:rFonts w:asciiTheme="majorEastAsia" w:eastAsiaTheme="majorEastAsia" w:hAnsiTheme="majorEastAsia" w:cstheme="majorEastAsia"/>
          <w:color w:val="000000" w:themeColor="text1"/>
        </w:rPr>
        <w:t xml:space="preserve">utvalget som nedsettes </w:t>
      </w:r>
      <w:r w:rsidR="00FC7248">
        <w:rPr>
          <w:rFonts w:asciiTheme="majorEastAsia" w:eastAsiaTheme="majorEastAsia" w:hAnsiTheme="majorEastAsia" w:cstheme="majorEastAsia"/>
          <w:color w:val="000000" w:themeColor="text1"/>
        </w:rPr>
        <w:t>for</w:t>
      </w:r>
      <w:r w:rsidRPr="28257F58">
        <w:rPr>
          <w:rFonts w:asciiTheme="majorEastAsia" w:eastAsiaTheme="majorEastAsia" w:hAnsiTheme="majorEastAsia" w:cstheme="majorEastAsia"/>
          <w:color w:val="000000" w:themeColor="text1"/>
        </w:rPr>
        <w:t xml:space="preserve"> å se på UH-loven, og det regjeringsoppnevnte ekspertutvalget som skal gi innspill til reformen «Lære hele livet», vurderer om </w:t>
      </w:r>
      <w:r w:rsidR="00FC7248">
        <w:rPr>
          <w:rFonts w:asciiTheme="majorEastAsia" w:eastAsiaTheme="majorEastAsia" w:hAnsiTheme="majorEastAsia" w:cstheme="majorEastAsia"/>
          <w:color w:val="000000" w:themeColor="text1"/>
        </w:rPr>
        <w:t xml:space="preserve">gjeldende regelverk </w:t>
      </w:r>
      <w:r w:rsidRPr="28257F58">
        <w:rPr>
          <w:rFonts w:asciiTheme="majorEastAsia" w:eastAsiaTheme="majorEastAsia" w:hAnsiTheme="majorEastAsia" w:cstheme="majorEastAsia"/>
          <w:color w:val="000000" w:themeColor="text1"/>
        </w:rPr>
        <w:t>er tilstrekkelig klart utfor</w:t>
      </w:r>
      <w:r w:rsidR="00FC7248">
        <w:rPr>
          <w:rFonts w:asciiTheme="majorEastAsia" w:eastAsiaTheme="majorEastAsia" w:hAnsiTheme="majorEastAsia" w:cstheme="majorEastAsia"/>
          <w:color w:val="000000" w:themeColor="text1"/>
        </w:rPr>
        <w:t>met ut fra dagens behov og om regelverket</w:t>
      </w:r>
      <w:r w:rsidRPr="28257F58">
        <w:rPr>
          <w:rFonts w:asciiTheme="majorEastAsia" w:eastAsiaTheme="majorEastAsia" w:hAnsiTheme="majorEastAsia" w:cstheme="majorEastAsia"/>
          <w:color w:val="000000" w:themeColor="text1"/>
        </w:rPr>
        <w:t xml:space="preserve"> fremmer eller hemmer ønsket om økt EVU-aktivitet. UHR bør benyttes som en pådriver i dette arbeidet. </w:t>
      </w:r>
    </w:p>
    <w:p w14:paraId="338C8FE6" w14:textId="7F3F1550" w:rsidR="00805D6A" w:rsidRDefault="00805D6A">
      <w:pPr>
        <w:spacing w:after="160" w:afterAutospacing="0" w:line="259" w:lineRule="auto"/>
        <w:rPr>
          <w:rFonts w:eastAsiaTheme="majorEastAsia"/>
        </w:rPr>
      </w:pPr>
      <w:r>
        <w:rPr>
          <w:rFonts w:eastAsiaTheme="majorEastAsia"/>
        </w:rPr>
        <w:br w:type="page"/>
      </w:r>
    </w:p>
    <w:p w14:paraId="6D8FF2E9" w14:textId="77777777" w:rsidR="00077A27" w:rsidRPr="002A2082" w:rsidRDefault="005D7DCA" w:rsidP="002A2082">
      <w:pPr>
        <w:pStyle w:val="Overskrift2"/>
      </w:pPr>
      <w:bookmarkStart w:id="31" w:name="_Toc516731440"/>
      <w:r w:rsidRPr="002A2082">
        <w:lastRenderedPageBreak/>
        <w:t xml:space="preserve">Vedlegg 1: </w:t>
      </w:r>
      <w:r w:rsidR="00077A27" w:rsidRPr="002A2082">
        <w:t>Egenfinansiering</w:t>
      </w:r>
      <w:r w:rsidR="002A2082">
        <w:t>s</w:t>
      </w:r>
      <w:r w:rsidR="00077A27" w:rsidRPr="002A2082">
        <w:t>prosent - case</w:t>
      </w:r>
      <w:bookmarkEnd w:id="31"/>
    </w:p>
    <w:p w14:paraId="765416E1" w14:textId="77777777" w:rsidR="00B96EF5" w:rsidRDefault="00077A27" w:rsidP="00077A27">
      <w:pPr>
        <w:rPr>
          <w:rFonts w:eastAsiaTheme="majorEastAsia"/>
        </w:rPr>
      </w:pPr>
      <w:r>
        <w:rPr>
          <w:rFonts w:eastAsiaTheme="majorEastAsia"/>
        </w:rPr>
        <w:t>Vi illustrerer</w:t>
      </w:r>
      <w:r w:rsidRPr="00F56C10">
        <w:rPr>
          <w:rFonts w:eastAsiaTheme="majorEastAsia"/>
        </w:rPr>
        <w:t xml:space="preserve"> </w:t>
      </w:r>
      <w:r>
        <w:rPr>
          <w:rFonts w:eastAsiaTheme="majorEastAsia"/>
        </w:rPr>
        <w:t>beregning av egenfinansieringsprosenten for studieprogrammer med et case.</w:t>
      </w:r>
      <w:r w:rsidR="00B96EF5">
        <w:rPr>
          <w:rFonts w:eastAsiaTheme="majorEastAsia"/>
        </w:rPr>
        <w:t xml:space="preserve"> </w:t>
      </w:r>
    </w:p>
    <w:p w14:paraId="6E2666DC" w14:textId="3848C1AF" w:rsidR="00077A27" w:rsidRDefault="00077A27" w:rsidP="00077A27">
      <w:pPr>
        <w:rPr>
          <w:rFonts w:asciiTheme="majorEastAsia" w:eastAsiaTheme="majorEastAsia" w:hAnsiTheme="majorEastAsia" w:cstheme="majorEastAsia"/>
        </w:rPr>
      </w:pPr>
      <w:r w:rsidRPr="00F56C10">
        <w:rPr>
          <w:rFonts w:asciiTheme="majorEastAsia" w:eastAsiaTheme="majorEastAsia" w:hAnsiTheme="majorEastAsia" w:cstheme="majorEastAsia"/>
        </w:rPr>
        <w:t>Vi velger</w:t>
      </w:r>
      <w:r>
        <w:rPr>
          <w:rFonts w:asciiTheme="majorEastAsia" w:eastAsiaTheme="majorEastAsia" w:hAnsiTheme="majorEastAsia" w:cstheme="majorEastAsia"/>
        </w:rPr>
        <w:t xml:space="preserve"> for enkelthets</w:t>
      </w:r>
      <w:r w:rsidRPr="00F56C10">
        <w:rPr>
          <w:rFonts w:asciiTheme="majorEastAsia" w:eastAsiaTheme="majorEastAsia" w:hAnsiTheme="majorEastAsia" w:cstheme="majorEastAsia"/>
        </w:rPr>
        <w:t xml:space="preserve"> et program i kategori C og </w:t>
      </w:r>
      <w:r w:rsidRPr="00F56C10">
        <w:rPr>
          <w:shd w:val="clear" w:color="auto" w:fill="FFFFFF"/>
        </w:rPr>
        <w:t>der det ikke gis uttelling for oppnådde kvalifikasjoner (dvs. ingen kandidatproduksjon)</w:t>
      </w:r>
      <w:r>
        <w:rPr>
          <w:shd w:val="clear" w:color="auto" w:fill="FFFFFF"/>
        </w:rPr>
        <w:t xml:space="preserve">. </w:t>
      </w:r>
      <w:r>
        <w:rPr>
          <w:rFonts w:asciiTheme="majorEastAsia" w:eastAsiaTheme="majorEastAsia" w:hAnsiTheme="majorEastAsia" w:cstheme="majorEastAsia"/>
        </w:rPr>
        <w:t>Kostnaden for programmet antas å være lik KDs stykkprisfinansiering på 182 000 kr (1</w:t>
      </w:r>
      <w:r w:rsidRPr="00EF66A0">
        <w:rPr>
          <w:rFonts w:asciiTheme="majorEastAsia" w:eastAsiaTheme="majorEastAsia" w:hAnsiTheme="majorEastAsia" w:cstheme="majorEastAsia"/>
        </w:rPr>
        <w:t>18</w:t>
      </w:r>
      <w:r>
        <w:rPr>
          <w:rFonts w:asciiTheme="majorEastAsia" w:eastAsiaTheme="majorEastAsia" w:hAnsiTheme="majorEastAsia" w:cstheme="majorEastAsia"/>
        </w:rPr>
        <w:t> </w:t>
      </w:r>
      <w:r w:rsidRPr="00EF66A0">
        <w:rPr>
          <w:rFonts w:asciiTheme="majorEastAsia" w:eastAsiaTheme="majorEastAsia" w:hAnsiTheme="majorEastAsia" w:cstheme="majorEastAsia"/>
        </w:rPr>
        <w:t>000 + 64</w:t>
      </w:r>
      <w:r>
        <w:rPr>
          <w:rFonts w:asciiTheme="majorEastAsia" w:eastAsiaTheme="majorEastAsia" w:hAnsiTheme="majorEastAsia" w:cstheme="majorEastAsia"/>
        </w:rPr>
        <w:t> </w:t>
      </w:r>
      <w:r w:rsidRPr="00EF66A0">
        <w:rPr>
          <w:rFonts w:asciiTheme="majorEastAsia" w:eastAsiaTheme="majorEastAsia" w:hAnsiTheme="majorEastAsia" w:cstheme="majorEastAsia"/>
        </w:rPr>
        <w:t>000</w:t>
      </w:r>
      <w:r>
        <w:rPr>
          <w:rFonts w:asciiTheme="majorEastAsia" w:eastAsiaTheme="majorEastAsia" w:hAnsiTheme="majorEastAsia" w:cstheme="majorEastAsia"/>
        </w:rPr>
        <w:t>) per årsenhet (dvs. 60 studiepoeng</w:t>
      </w:r>
      <w:r w:rsidR="00B96EF5">
        <w:rPr>
          <w:rFonts w:asciiTheme="majorEastAsia" w:eastAsiaTheme="majorEastAsia" w:hAnsiTheme="majorEastAsia" w:cstheme="majorEastAsia"/>
        </w:rPr>
        <w:t>) som vist i tabell 5.</w:t>
      </w:r>
    </w:p>
    <w:tbl>
      <w:tblPr>
        <w:tblW w:w="9286" w:type="dxa"/>
        <w:tblCellMar>
          <w:left w:w="0" w:type="dxa"/>
          <w:right w:w="0" w:type="dxa"/>
        </w:tblCellMar>
        <w:tblLook w:val="0600" w:firstRow="0" w:lastRow="0" w:firstColumn="0" w:lastColumn="0" w:noHBand="1" w:noVBand="1"/>
      </w:tblPr>
      <w:tblGrid>
        <w:gridCol w:w="1029"/>
        <w:gridCol w:w="4766"/>
        <w:gridCol w:w="1594"/>
        <w:gridCol w:w="1897"/>
      </w:tblGrid>
      <w:tr w:rsidR="00DF61B5" w:rsidRPr="00323730" w14:paraId="04D27832" w14:textId="77777777" w:rsidTr="00B96EF5">
        <w:trPr>
          <w:trHeight w:val="459"/>
        </w:trPr>
        <w:tc>
          <w:tcPr>
            <w:tcW w:w="10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3C147671" w14:textId="77777777" w:rsidR="00DF61B5" w:rsidRPr="00323730" w:rsidRDefault="00DF61B5" w:rsidP="00DF61B5">
            <w:pPr>
              <w:spacing w:after="0" w:afterAutospacing="0"/>
              <w:jc w:val="center"/>
              <w:textAlignment w:val="center"/>
              <w:rPr>
                <w:rFonts w:ascii="Arial" w:hAnsi="Arial" w:cs="Arial"/>
                <w:sz w:val="36"/>
                <w:szCs w:val="36"/>
              </w:rPr>
            </w:pPr>
            <w:r w:rsidRPr="00323730">
              <w:rPr>
                <w:rFonts w:ascii="Calibri" w:hAnsi="Calibri" w:cs="Calibri"/>
                <w:b/>
                <w:bCs/>
                <w:kern w:val="24"/>
                <w:sz w:val="21"/>
                <w:szCs w:val="21"/>
              </w:rPr>
              <w:t>Kategori</w:t>
            </w:r>
          </w:p>
        </w:tc>
        <w:tc>
          <w:tcPr>
            <w:tcW w:w="4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78109308" w14:textId="77777777" w:rsidR="00DF61B5" w:rsidRPr="00323730" w:rsidRDefault="00DF61B5" w:rsidP="00DF61B5">
            <w:pPr>
              <w:spacing w:after="0" w:afterAutospacing="0"/>
              <w:jc w:val="center"/>
              <w:textAlignment w:val="center"/>
              <w:rPr>
                <w:rFonts w:ascii="Arial" w:hAnsi="Arial" w:cs="Arial"/>
                <w:sz w:val="36"/>
                <w:szCs w:val="36"/>
              </w:rPr>
            </w:pPr>
            <w:r w:rsidRPr="00323730">
              <w:rPr>
                <w:rFonts w:ascii="Calibri" w:hAnsi="Calibri" w:cs="Calibri"/>
                <w:b/>
                <w:bCs/>
                <w:kern w:val="24"/>
                <w:sz w:val="21"/>
                <w:szCs w:val="21"/>
              </w:rPr>
              <w:t>Beskrivelse</w:t>
            </w:r>
          </w:p>
        </w:tc>
        <w:tc>
          <w:tcPr>
            <w:tcW w:w="1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2EE58CC6" w14:textId="77777777" w:rsidR="00DF61B5" w:rsidRPr="00323730" w:rsidRDefault="00DF61B5" w:rsidP="00DF61B5">
            <w:pPr>
              <w:spacing w:after="0" w:afterAutospacing="0"/>
              <w:jc w:val="center"/>
              <w:textAlignment w:val="center"/>
              <w:rPr>
                <w:rFonts w:ascii="Arial" w:hAnsi="Arial" w:cs="Arial"/>
                <w:sz w:val="36"/>
                <w:szCs w:val="36"/>
              </w:rPr>
            </w:pPr>
            <w:r w:rsidRPr="00323730">
              <w:rPr>
                <w:rFonts w:ascii="Calibri" w:hAnsi="Calibri" w:cs="Calibri"/>
                <w:b/>
                <w:bCs/>
                <w:kern w:val="24"/>
                <w:sz w:val="21"/>
                <w:szCs w:val="21"/>
              </w:rPr>
              <w:t>Basis</w:t>
            </w:r>
          </w:p>
        </w:tc>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3272B2AC" w14:textId="77777777" w:rsidR="00DF61B5" w:rsidRDefault="00DF61B5" w:rsidP="00DF61B5">
            <w:pPr>
              <w:spacing w:after="0" w:afterAutospacing="0"/>
              <w:jc w:val="center"/>
              <w:textAlignment w:val="center"/>
              <w:rPr>
                <w:rFonts w:ascii="Calibri" w:hAnsi="Calibri" w:cs="Calibri"/>
                <w:b/>
                <w:bCs/>
                <w:kern w:val="24"/>
                <w:sz w:val="21"/>
                <w:szCs w:val="21"/>
              </w:rPr>
            </w:pPr>
            <w:r w:rsidRPr="00323730">
              <w:rPr>
                <w:rFonts w:ascii="Calibri" w:hAnsi="Calibri" w:cs="Calibri"/>
                <w:b/>
                <w:bCs/>
                <w:kern w:val="24"/>
                <w:sz w:val="21"/>
                <w:szCs w:val="21"/>
              </w:rPr>
              <w:t>Resultatkomponent</w:t>
            </w:r>
          </w:p>
          <w:p w14:paraId="37564CF1" w14:textId="2D75880E" w:rsidR="00ED21AB" w:rsidRPr="00323730" w:rsidRDefault="00ED21AB" w:rsidP="00DF61B5">
            <w:pPr>
              <w:spacing w:after="0" w:afterAutospacing="0"/>
              <w:jc w:val="center"/>
              <w:textAlignment w:val="center"/>
              <w:rPr>
                <w:rFonts w:ascii="Arial" w:hAnsi="Arial" w:cs="Arial"/>
                <w:sz w:val="36"/>
                <w:szCs w:val="36"/>
              </w:rPr>
            </w:pPr>
            <w:r>
              <w:rPr>
                <w:rFonts w:ascii="Calibri" w:hAnsi="Calibri" w:cs="Calibri"/>
                <w:b/>
                <w:bCs/>
                <w:kern w:val="24"/>
                <w:sz w:val="21"/>
                <w:szCs w:val="21"/>
              </w:rPr>
              <w:t>studiepoeng</w:t>
            </w:r>
          </w:p>
        </w:tc>
      </w:tr>
      <w:tr w:rsidR="00DF61B5" w:rsidRPr="00323730" w14:paraId="6182F98B" w14:textId="77777777" w:rsidTr="00B96EF5">
        <w:trPr>
          <w:trHeight w:val="459"/>
        </w:trPr>
        <w:tc>
          <w:tcPr>
            <w:tcW w:w="10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1959C3F3" w14:textId="77777777" w:rsidR="00DF61B5" w:rsidRPr="00323730" w:rsidRDefault="00DF61B5" w:rsidP="00DF61B5">
            <w:pPr>
              <w:spacing w:after="0" w:afterAutospacing="0"/>
              <w:jc w:val="center"/>
              <w:textAlignment w:val="center"/>
              <w:rPr>
                <w:rFonts w:ascii="Arial" w:hAnsi="Arial" w:cs="Arial"/>
                <w:sz w:val="36"/>
                <w:szCs w:val="36"/>
              </w:rPr>
            </w:pPr>
            <w:r w:rsidRPr="00323730">
              <w:rPr>
                <w:rFonts w:ascii="Calibri" w:hAnsi="Calibri" w:cs="Calibri"/>
                <w:kern w:val="24"/>
                <w:sz w:val="18"/>
                <w:szCs w:val="18"/>
              </w:rPr>
              <w:t>A</w:t>
            </w:r>
          </w:p>
        </w:tc>
        <w:tc>
          <w:tcPr>
            <w:tcW w:w="4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23BEF415" w14:textId="77777777" w:rsidR="00DF61B5" w:rsidRPr="00323730" w:rsidRDefault="00DF61B5" w:rsidP="00DF61B5">
            <w:pPr>
              <w:spacing w:after="0" w:afterAutospacing="0"/>
              <w:textAlignment w:val="center"/>
              <w:rPr>
                <w:rFonts w:ascii="Arial" w:hAnsi="Arial" w:cs="Arial"/>
                <w:sz w:val="36"/>
                <w:szCs w:val="36"/>
              </w:rPr>
            </w:pPr>
            <w:r w:rsidRPr="00323730">
              <w:rPr>
                <w:rFonts w:ascii="Calibri" w:hAnsi="Calibri" w:cs="Calibri"/>
                <w:kern w:val="24"/>
                <w:sz w:val="18"/>
                <w:szCs w:val="18"/>
              </w:rPr>
              <w:t>Profesjonsstudiene i medisin og odontologi, veterinærstudiet, kunstakademiet (NTNU), film- og fjernsynsutdanning (</w:t>
            </w:r>
            <w:proofErr w:type="spellStart"/>
            <w:r w:rsidRPr="00323730">
              <w:rPr>
                <w:rFonts w:ascii="Calibri" w:hAnsi="Calibri" w:cs="Calibri"/>
                <w:kern w:val="24"/>
                <w:sz w:val="18"/>
                <w:szCs w:val="18"/>
              </w:rPr>
              <w:t>HiL</w:t>
            </w:r>
            <w:proofErr w:type="spellEnd"/>
            <w:r w:rsidRPr="00323730">
              <w:rPr>
                <w:rFonts w:ascii="Calibri" w:hAnsi="Calibri" w:cs="Calibri"/>
                <w:kern w:val="24"/>
                <w:sz w:val="18"/>
                <w:szCs w:val="18"/>
              </w:rPr>
              <w:t>) og scenografi og skuespill (</w:t>
            </w:r>
            <w:proofErr w:type="spellStart"/>
            <w:r w:rsidRPr="00323730">
              <w:rPr>
                <w:rFonts w:ascii="Calibri" w:hAnsi="Calibri" w:cs="Calibri"/>
                <w:kern w:val="24"/>
                <w:sz w:val="18"/>
                <w:szCs w:val="18"/>
              </w:rPr>
              <w:t>HiØ</w:t>
            </w:r>
            <w:proofErr w:type="spellEnd"/>
            <w:r w:rsidRPr="00323730">
              <w:rPr>
                <w:rFonts w:ascii="Calibri" w:hAnsi="Calibri" w:cs="Calibri"/>
                <w:kern w:val="24"/>
                <w:sz w:val="18"/>
                <w:szCs w:val="18"/>
              </w:rPr>
              <w:t>).</w:t>
            </w:r>
          </w:p>
        </w:tc>
        <w:tc>
          <w:tcPr>
            <w:tcW w:w="1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6FA682F2" w14:textId="77777777" w:rsidR="00DF61B5" w:rsidRPr="00CE2F5F" w:rsidRDefault="00DF61B5" w:rsidP="00CE2F5F">
            <w:pPr>
              <w:jc w:val="center"/>
              <w:textAlignment w:val="center"/>
            </w:pPr>
            <w:r w:rsidRPr="7625745A">
              <w:rPr>
                <w:rFonts w:ascii="Calibri" w:eastAsia="Calibri" w:hAnsi="Calibri" w:cs="Calibri"/>
                <w:kern w:val="24"/>
                <w:sz w:val="18"/>
                <w:szCs w:val="18"/>
              </w:rPr>
              <w:t>230 000</w:t>
            </w:r>
          </w:p>
        </w:tc>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61FA7C64" w14:textId="77777777" w:rsidR="00DF61B5" w:rsidRPr="00CE2F5F" w:rsidRDefault="00DF61B5" w:rsidP="00CE2F5F">
            <w:pPr>
              <w:jc w:val="center"/>
              <w:textAlignment w:val="center"/>
            </w:pPr>
            <w:r w:rsidRPr="46D54BE2">
              <w:rPr>
                <w:rFonts w:asciiTheme="minorHAnsi" w:eastAsiaTheme="minorEastAsia" w:hAnsiTheme="minorHAnsi" w:cstheme="minorBidi"/>
                <w:kern w:val="24"/>
                <w:sz w:val="18"/>
                <w:szCs w:val="18"/>
              </w:rPr>
              <w:t>126 000</w:t>
            </w:r>
          </w:p>
        </w:tc>
      </w:tr>
      <w:tr w:rsidR="00DF61B5" w:rsidRPr="00323730" w14:paraId="10C0EB0E" w14:textId="77777777" w:rsidTr="00B96EF5">
        <w:trPr>
          <w:trHeight w:val="690"/>
        </w:trPr>
        <w:tc>
          <w:tcPr>
            <w:tcW w:w="10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78AC34F1" w14:textId="77777777" w:rsidR="00DF61B5" w:rsidRPr="00323730" w:rsidRDefault="00DF61B5" w:rsidP="00DF61B5">
            <w:pPr>
              <w:spacing w:after="0" w:afterAutospacing="0"/>
              <w:jc w:val="center"/>
              <w:textAlignment w:val="center"/>
              <w:rPr>
                <w:rFonts w:ascii="Arial" w:hAnsi="Arial" w:cs="Arial"/>
                <w:sz w:val="36"/>
                <w:szCs w:val="36"/>
              </w:rPr>
            </w:pPr>
            <w:r w:rsidRPr="00323730">
              <w:rPr>
                <w:rFonts w:ascii="Calibri" w:hAnsi="Calibri" w:cs="Calibri"/>
                <w:kern w:val="24"/>
                <w:sz w:val="18"/>
                <w:szCs w:val="18"/>
              </w:rPr>
              <w:t>B</w:t>
            </w:r>
          </w:p>
        </w:tc>
        <w:tc>
          <w:tcPr>
            <w:tcW w:w="4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0177ED87" w14:textId="77777777" w:rsidR="00DF61B5" w:rsidRPr="00323730" w:rsidRDefault="00DF61B5" w:rsidP="00DF61B5">
            <w:pPr>
              <w:spacing w:after="0" w:afterAutospacing="0"/>
              <w:textAlignment w:val="center"/>
              <w:rPr>
                <w:rFonts w:ascii="Arial" w:hAnsi="Arial" w:cs="Arial"/>
                <w:sz w:val="36"/>
                <w:szCs w:val="36"/>
              </w:rPr>
            </w:pPr>
            <w:r w:rsidRPr="00323730">
              <w:rPr>
                <w:rFonts w:ascii="Calibri" w:hAnsi="Calibri" w:cs="Calibri"/>
                <w:kern w:val="24"/>
                <w:sz w:val="18"/>
                <w:szCs w:val="18"/>
              </w:rPr>
              <w:t>Femårige masterprogram i arkitektur og industridesign, utøvende kunst- og musikkutdanninger på lavere og høyere grads nivå, grunnutdanning i produktdesign, grunnutdanning i animasjon, profesjonsstudiene i psykologi og farmasi, grunnutdanning i ortopediingeniør.</w:t>
            </w:r>
          </w:p>
        </w:tc>
        <w:tc>
          <w:tcPr>
            <w:tcW w:w="1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70DFFDC6" w14:textId="77777777" w:rsidR="00DF61B5" w:rsidRPr="00CE2F5F" w:rsidRDefault="00DF61B5" w:rsidP="00CE2F5F">
            <w:pPr>
              <w:jc w:val="center"/>
              <w:textAlignment w:val="center"/>
            </w:pPr>
            <w:r w:rsidRPr="7625745A">
              <w:rPr>
                <w:rFonts w:ascii="Calibri" w:eastAsia="Calibri" w:hAnsi="Calibri" w:cs="Calibri"/>
                <w:kern w:val="24"/>
                <w:sz w:val="18"/>
                <w:szCs w:val="18"/>
              </w:rPr>
              <w:t>173 000</w:t>
            </w:r>
          </w:p>
        </w:tc>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5C179BCD" w14:textId="77777777" w:rsidR="00DF61B5" w:rsidRPr="00CE2F5F" w:rsidRDefault="00DF61B5" w:rsidP="00CE2F5F">
            <w:pPr>
              <w:jc w:val="center"/>
              <w:textAlignment w:val="center"/>
            </w:pPr>
            <w:r w:rsidRPr="46D54BE2">
              <w:rPr>
                <w:rFonts w:asciiTheme="minorHAnsi" w:eastAsiaTheme="minorEastAsia" w:hAnsiTheme="minorHAnsi" w:cstheme="minorBidi"/>
                <w:kern w:val="24"/>
                <w:sz w:val="18"/>
                <w:szCs w:val="18"/>
              </w:rPr>
              <w:t>96 000</w:t>
            </w:r>
          </w:p>
        </w:tc>
      </w:tr>
      <w:tr w:rsidR="00DF61B5" w:rsidRPr="00323730" w14:paraId="3DB145FB" w14:textId="77777777" w:rsidTr="00B96EF5">
        <w:trPr>
          <w:trHeight w:val="228"/>
        </w:trPr>
        <w:tc>
          <w:tcPr>
            <w:tcW w:w="10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54063AEC" w14:textId="77777777" w:rsidR="00DF61B5" w:rsidRPr="00323730" w:rsidRDefault="00DF61B5" w:rsidP="00DF61B5">
            <w:pPr>
              <w:spacing w:after="0" w:afterAutospacing="0"/>
              <w:jc w:val="center"/>
              <w:textAlignment w:val="center"/>
              <w:rPr>
                <w:rFonts w:ascii="Arial" w:hAnsi="Arial" w:cs="Arial"/>
                <w:sz w:val="36"/>
                <w:szCs w:val="36"/>
              </w:rPr>
            </w:pPr>
            <w:r w:rsidRPr="00323730">
              <w:rPr>
                <w:rFonts w:ascii="Calibri" w:hAnsi="Calibri" w:cs="Calibri"/>
                <w:kern w:val="24"/>
                <w:sz w:val="18"/>
                <w:szCs w:val="18"/>
              </w:rPr>
              <w:t>C</w:t>
            </w:r>
          </w:p>
        </w:tc>
        <w:tc>
          <w:tcPr>
            <w:tcW w:w="4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0E0F4A7A" w14:textId="77777777" w:rsidR="00DF61B5" w:rsidRPr="00323730" w:rsidRDefault="00DF61B5" w:rsidP="00DF61B5">
            <w:pPr>
              <w:spacing w:after="0" w:afterAutospacing="0"/>
              <w:textAlignment w:val="center"/>
              <w:rPr>
                <w:rFonts w:ascii="Arial" w:hAnsi="Arial" w:cs="Arial"/>
                <w:sz w:val="36"/>
                <w:szCs w:val="36"/>
              </w:rPr>
            </w:pPr>
            <w:r w:rsidRPr="00323730">
              <w:rPr>
                <w:rFonts w:ascii="Calibri" w:hAnsi="Calibri" w:cs="Calibri"/>
                <w:kern w:val="24"/>
                <w:sz w:val="18"/>
                <w:szCs w:val="18"/>
              </w:rPr>
              <w:t>Realfag, teknologi, fiskerifag og kunst på høyere grads nivå, faglærerutdanning i musikk, dans og drama.</w:t>
            </w:r>
          </w:p>
        </w:tc>
        <w:tc>
          <w:tcPr>
            <w:tcW w:w="1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7BA8DC85" w14:textId="77777777" w:rsidR="00DF61B5" w:rsidRPr="00CE2F5F" w:rsidRDefault="00DF61B5" w:rsidP="00CE2F5F">
            <w:pPr>
              <w:jc w:val="center"/>
              <w:textAlignment w:val="center"/>
            </w:pPr>
            <w:r w:rsidRPr="7625745A">
              <w:rPr>
                <w:rFonts w:ascii="Calibri" w:eastAsia="Calibri" w:hAnsi="Calibri" w:cs="Calibri"/>
                <w:kern w:val="24"/>
                <w:sz w:val="18"/>
                <w:szCs w:val="18"/>
              </w:rPr>
              <w:t>118 000</w:t>
            </w:r>
          </w:p>
        </w:tc>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1820CEFC" w14:textId="77777777" w:rsidR="00DF61B5" w:rsidRPr="00CE2F5F" w:rsidRDefault="00DF61B5" w:rsidP="00CE2F5F">
            <w:pPr>
              <w:jc w:val="center"/>
              <w:textAlignment w:val="center"/>
            </w:pPr>
            <w:r w:rsidRPr="46D54BE2">
              <w:rPr>
                <w:rFonts w:asciiTheme="minorHAnsi" w:eastAsiaTheme="minorEastAsia" w:hAnsiTheme="minorHAnsi" w:cstheme="minorBidi"/>
                <w:kern w:val="24"/>
                <w:sz w:val="18"/>
                <w:szCs w:val="18"/>
              </w:rPr>
              <w:t>64 000</w:t>
            </w:r>
          </w:p>
        </w:tc>
      </w:tr>
      <w:tr w:rsidR="00DF61B5" w:rsidRPr="00323730" w14:paraId="79981A5A" w14:textId="77777777" w:rsidTr="00B96EF5">
        <w:trPr>
          <w:trHeight w:val="1542"/>
        </w:trPr>
        <w:tc>
          <w:tcPr>
            <w:tcW w:w="10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54D67D02" w14:textId="77777777" w:rsidR="00DF61B5" w:rsidRPr="00323730" w:rsidRDefault="00DF61B5" w:rsidP="00DF61B5">
            <w:pPr>
              <w:spacing w:after="0" w:afterAutospacing="0"/>
              <w:jc w:val="center"/>
              <w:textAlignment w:val="center"/>
              <w:rPr>
                <w:rFonts w:ascii="Arial" w:hAnsi="Arial" w:cs="Arial"/>
                <w:sz w:val="36"/>
                <w:szCs w:val="36"/>
              </w:rPr>
            </w:pPr>
            <w:r w:rsidRPr="00323730">
              <w:rPr>
                <w:rFonts w:ascii="Calibri" w:hAnsi="Calibri" w:cs="Calibri"/>
                <w:kern w:val="24"/>
                <w:sz w:val="18"/>
                <w:szCs w:val="18"/>
              </w:rPr>
              <w:t>D</w:t>
            </w:r>
          </w:p>
        </w:tc>
        <w:tc>
          <w:tcPr>
            <w:tcW w:w="4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438692DD" w14:textId="77777777" w:rsidR="00DF61B5" w:rsidRPr="00424C22" w:rsidRDefault="00DF61B5" w:rsidP="00DF61B5">
            <w:pPr>
              <w:spacing w:after="0" w:afterAutospacing="0"/>
              <w:textAlignment w:val="center"/>
              <w:rPr>
                <w:rFonts w:ascii="Arial" w:hAnsi="Arial" w:cs="Arial"/>
                <w:sz w:val="36"/>
                <w:szCs w:val="36"/>
                <w:lang w:val="nn-NO"/>
              </w:rPr>
            </w:pPr>
            <w:r w:rsidRPr="00323730">
              <w:rPr>
                <w:rFonts w:ascii="Calibri" w:hAnsi="Calibri" w:cs="Calibri"/>
                <w:kern w:val="24"/>
                <w:sz w:val="18"/>
                <w:szCs w:val="18"/>
              </w:rPr>
              <w:t xml:space="preserve">Humanistiske, samfunns- og idrettsvitenskapelige fag på høyere grads nivå, 5-årige masterprogram i teknologi, bibliotek, økonomi og administrasjon på høyere grads nivå. Grunnutdanning i fysioterapi, </w:t>
            </w:r>
            <w:proofErr w:type="spellStart"/>
            <w:r w:rsidRPr="00323730">
              <w:rPr>
                <w:rFonts w:ascii="Calibri" w:hAnsi="Calibri" w:cs="Calibri"/>
                <w:kern w:val="24"/>
                <w:sz w:val="18"/>
                <w:szCs w:val="18"/>
              </w:rPr>
              <w:t>mensendieck</w:t>
            </w:r>
            <w:proofErr w:type="spellEnd"/>
            <w:r w:rsidRPr="00323730">
              <w:rPr>
                <w:rFonts w:ascii="Calibri" w:hAnsi="Calibri" w:cs="Calibri"/>
                <w:kern w:val="24"/>
                <w:sz w:val="18"/>
                <w:szCs w:val="18"/>
              </w:rPr>
              <w:t xml:space="preserve">, bioingeniør, ergoterapi, radiografi, audiograf, døvetolk, reseptar, tannteknikk, tannpleie, fotojournalist, jordmor, stråleterapi, ABIOK-utdanninger (videreutdanning i anestesi-, barne-, intensiv-, operasjons- og kreftsykepleie). </w:t>
            </w:r>
            <w:r w:rsidRPr="00424C22">
              <w:rPr>
                <w:rFonts w:ascii="Calibri" w:hAnsi="Calibri" w:cs="Calibri"/>
                <w:kern w:val="24"/>
                <w:sz w:val="18"/>
                <w:szCs w:val="18"/>
                <w:lang w:val="nn-NO"/>
              </w:rPr>
              <w:t xml:space="preserve">Visuell kommunikasjon, tekniske mediefag (film- og fjernsynsproduksjon), </w:t>
            </w:r>
            <w:proofErr w:type="spellStart"/>
            <w:r w:rsidRPr="00424C22">
              <w:rPr>
                <w:rFonts w:ascii="Calibri" w:hAnsi="Calibri" w:cs="Calibri"/>
                <w:kern w:val="24"/>
                <w:sz w:val="18"/>
                <w:szCs w:val="18"/>
                <w:lang w:val="nn-NO"/>
              </w:rPr>
              <w:t>grunnskolelærerutdanning</w:t>
            </w:r>
            <w:proofErr w:type="spellEnd"/>
            <w:r w:rsidRPr="00424C22">
              <w:rPr>
                <w:rFonts w:ascii="Calibri" w:hAnsi="Calibri" w:cs="Calibri"/>
                <w:kern w:val="24"/>
                <w:sz w:val="18"/>
                <w:szCs w:val="18"/>
                <w:lang w:val="nn-NO"/>
              </w:rPr>
              <w:t xml:space="preserve">, </w:t>
            </w:r>
            <w:proofErr w:type="spellStart"/>
            <w:r w:rsidRPr="00424C22">
              <w:rPr>
                <w:rFonts w:ascii="Calibri" w:hAnsi="Calibri" w:cs="Calibri"/>
                <w:kern w:val="24"/>
                <w:sz w:val="18"/>
                <w:szCs w:val="18"/>
                <w:lang w:val="nn-NO"/>
              </w:rPr>
              <w:t>faglærerutdanning</w:t>
            </w:r>
            <w:proofErr w:type="spellEnd"/>
            <w:r w:rsidRPr="00424C22">
              <w:rPr>
                <w:rFonts w:ascii="Calibri" w:hAnsi="Calibri" w:cs="Calibri"/>
                <w:kern w:val="24"/>
                <w:sz w:val="18"/>
                <w:szCs w:val="18"/>
                <w:lang w:val="nn-NO"/>
              </w:rPr>
              <w:t xml:space="preserve"> i kunst- og </w:t>
            </w:r>
            <w:proofErr w:type="spellStart"/>
            <w:r w:rsidRPr="00424C22">
              <w:rPr>
                <w:rFonts w:ascii="Calibri" w:hAnsi="Calibri" w:cs="Calibri"/>
                <w:kern w:val="24"/>
                <w:sz w:val="18"/>
                <w:szCs w:val="18"/>
                <w:lang w:val="nn-NO"/>
              </w:rPr>
              <w:t>håndtverksfag</w:t>
            </w:r>
            <w:proofErr w:type="spellEnd"/>
            <w:r w:rsidRPr="00424C22">
              <w:rPr>
                <w:rFonts w:ascii="Calibri" w:hAnsi="Calibri" w:cs="Calibri"/>
                <w:kern w:val="24"/>
                <w:sz w:val="18"/>
                <w:szCs w:val="18"/>
                <w:lang w:val="nn-NO"/>
              </w:rPr>
              <w:t xml:space="preserve">, </w:t>
            </w:r>
            <w:proofErr w:type="spellStart"/>
            <w:r w:rsidRPr="00424C22">
              <w:rPr>
                <w:rFonts w:ascii="Calibri" w:hAnsi="Calibri" w:cs="Calibri"/>
                <w:kern w:val="24"/>
                <w:sz w:val="18"/>
                <w:szCs w:val="18"/>
                <w:lang w:val="nn-NO"/>
              </w:rPr>
              <w:t>allmennlærerutdanning</w:t>
            </w:r>
            <w:proofErr w:type="spellEnd"/>
            <w:r w:rsidRPr="00424C22">
              <w:rPr>
                <w:rFonts w:ascii="Calibri" w:hAnsi="Calibri" w:cs="Calibri"/>
                <w:kern w:val="24"/>
                <w:sz w:val="18"/>
                <w:szCs w:val="18"/>
                <w:lang w:val="nn-NO"/>
              </w:rPr>
              <w:t xml:space="preserve"> med </w:t>
            </w:r>
            <w:proofErr w:type="spellStart"/>
            <w:r w:rsidRPr="00424C22">
              <w:rPr>
                <w:rFonts w:ascii="Calibri" w:hAnsi="Calibri" w:cs="Calibri"/>
                <w:kern w:val="24"/>
                <w:sz w:val="18"/>
                <w:szCs w:val="18"/>
                <w:lang w:val="nn-NO"/>
              </w:rPr>
              <w:t>fordyping</w:t>
            </w:r>
            <w:proofErr w:type="spellEnd"/>
            <w:r w:rsidRPr="00424C22">
              <w:rPr>
                <w:rFonts w:ascii="Calibri" w:hAnsi="Calibri" w:cs="Calibri"/>
                <w:kern w:val="24"/>
                <w:sz w:val="18"/>
                <w:szCs w:val="18"/>
                <w:lang w:val="nn-NO"/>
              </w:rPr>
              <w:t xml:space="preserve"> i musikk, 5-årig integrert </w:t>
            </w:r>
            <w:proofErr w:type="spellStart"/>
            <w:r w:rsidRPr="00424C22">
              <w:rPr>
                <w:rFonts w:ascii="Calibri" w:hAnsi="Calibri" w:cs="Calibri"/>
                <w:kern w:val="24"/>
                <w:sz w:val="18"/>
                <w:szCs w:val="18"/>
                <w:lang w:val="nn-NO"/>
              </w:rPr>
              <w:t>lærerutdanning</w:t>
            </w:r>
            <w:proofErr w:type="spellEnd"/>
            <w:r w:rsidRPr="00424C22">
              <w:rPr>
                <w:rFonts w:ascii="Calibri" w:hAnsi="Calibri" w:cs="Calibri"/>
                <w:kern w:val="24"/>
                <w:sz w:val="18"/>
                <w:szCs w:val="18"/>
                <w:lang w:val="nn-NO"/>
              </w:rPr>
              <w:t>, årsstudium i praktisk pedagogisk utdanning.</w:t>
            </w:r>
          </w:p>
        </w:tc>
        <w:tc>
          <w:tcPr>
            <w:tcW w:w="1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1CBCF9A9" w14:textId="77777777" w:rsidR="00DF61B5" w:rsidRPr="00CE2F5F" w:rsidRDefault="00DF61B5" w:rsidP="00CE2F5F">
            <w:pPr>
              <w:jc w:val="center"/>
              <w:textAlignment w:val="center"/>
            </w:pPr>
            <w:r w:rsidRPr="7625745A">
              <w:rPr>
                <w:rFonts w:ascii="Calibri" w:eastAsia="Calibri" w:hAnsi="Calibri" w:cs="Calibri"/>
                <w:kern w:val="24"/>
                <w:sz w:val="18"/>
                <w:szCs w:val="18"/>
              </w:rPr>
              <w:t>83 000</w:t>
            </w:r>
          </w:p>
        </w:tc>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18C285EA" w14:textId="77777777" w:rsidR="00DF61B5" w:rsidRPr="00CE2F5F" w:rsidRDefault="00DF61B5" w:rsidP="00CE2F5F">
            <w:pPr>
              <w:jc w:val="center"/>
              <w:textAlignment w:val="center"/>
            </w:pPr>
            <w:r w:rsidRPr="46D54BE2">
              <w:rPr>
                <w:rFonts w:asciiTheme="minorHAnsi" w:eastAsiaTheme="minorEastAsia" w:hAnsiTheme="minorHAnsi" w:cstheme="minorBidi"/>
                <w:kern w:val="24"/>
                <w:sz w:val="18"/>
                <w:szCs w:val="18"/>
              </w:rPr>
              <w:t>47 000</w:t>
            </w:r>
          </w:p>
        </w:tc>
      </w:tr>
      <w:tr w:rsidR="00DF61B5" w:rsidRPr="00323730" w14:paraId="1A7A35ED" w14:textId="77777777" w:rsidTr="00B96EF5">
        <w:trPr>
          <w:trHeight w:val="922"/>
        </w:trPr>
        <w:tc>
          <w:tcPr>
            <w:tcW w:w="10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5B37DF50" w14:textId="77777777" w:rsidR="00DF61B5" w:rsidRPr="00323730" w:rsidRDefault="00DF61B5" w:rsidP="00DF61B5">
            <w:pPr>
              <w:spacing w:after="0" w:afterAutospacing="0"/>
              <w:jc w:val="center"/>
              <w:textAlignment w:val="center"/>
              <w:rPr>
                <w:rFonts w:ascii="Arial" w:hAnsi="Arial" w:cs="Arial"/>
                <w:sz w:val="36"/>
                <w:szCs w:val="36"/>
              </w:rPr>
            </w:pPr>
            <w:r w:rsidRPr="00323730">
              <w:rPr>
                <w:rFonts w:ascii="Calibri" w:hAnsi="Calibri" w:cs="Calibri"/>
                <w:kern w:val="24"/>
                <w:sz w:val="18"/>
                <w:szCs w:val="18"/>
              </w:rPr>
              <w:t>E</w:t>
            </w:r>
          </w:p>
        </w:tc>
        <w:tc>
          <w:tcPr>
            <w:tcW w:w="4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097EDA34" w14:textId="77777777" w:rsidR="00DF61B5" w:rsidRPr="00323730" w:rsidRDefault="00DF61B5" w:rsidP="00DF61B5">
            <w:pPr>
              <w:spacing w:after="0" w:afterAutospacing="0"/>
              <w:textAlignment w:val="center"/>
              <w:rPr>
                <w:rFonts w:ascii="Arial" w:hAnsi="Arial" w:cs="Arial"/>
                <w:sz w:val="36"/>
                <w:szCs w:val="36"/>
              </w:rPr>
            </w:pPr>
            <w:r w:rsidRPr="00323730">
              <w:rPr>
                <w:rFonts w:ascii="Calibri" w:hAnsi="Calibri" w:cs="Calibri"/>
                <w:kern w:val="24"/>
                <w:sz w:val="18"/>
                <w:szCs w:val="18"/>
              </w:rPr>
              <w:t>Sykepleier-, vernepleier-, barnevernspedagog</w:t>
            </w:r>
            <w:proofErr w:type="gramStart"/>
            <w:r w:rsidRPr="00323730">
              <w:rPr>
                <w:rFonts w:ascii="Calibri" w:hAnsi="Calibri" w:cs="Calibri"/>
                <w:kern w:val="24"/>
                <w:sz w:val="18"/>
                <w:szCs w:val="18"/>
              </w:rPr>
              <w:t>- ,</w:t>
            </w:r>
            <w:proofErr w:type="gramEnd"/>
            <w:r w:rsidRPr="00323730">
              <w:rPr>
                <w:rFonts w:ascii="Calibri" w:hAnsi="Calibri" w:cs="Calibri"/>
                <w:kern w:val="24"/>
                <w:sz w:val="18"/>
                <w:szCs w:val="18"/>
              </w:rPr>
              <w:t xml:space="preserve"> barnehagelærer-, yrkesfaglærer, journalist-, ingeniør- og dyrepleierutdanning. Profesjonsstudiet i juss, faglærerutdanning i praktisk estetiske fag, faglærerutdanning i kroppsøving. Teknologisk og maritim utdanning, realfag, idrettsfag, </w:t>
            </w:r>
            <w:proofErr w:type="spellStart"/>
            <w:r w:rsidRPr="00323730">
              <w:rPr>
                <w:rFonts w:ascii="Calibri" w:hAnsi="Calibri" w:cs="Calibri"/>
                <w:kern w:val="24"/>
                <w:sz w:val="18"/>
                <w:szCs w:val="18"/>
              </w:rPr>
              <w:t>friluftsfag</w:t>
            </w:r>
            <w:proofErr w:type="spellEnd"/>
            <w:r w:rsidRPr="00323730">
              <w:rPr>
                <w:rFonts w:ascii="Calibri" w:hAnsi="Calibri" w:cs="Calibri"/>
                <w:kern w:val="24"/>
                <w:sz w:val="18"/>
                <w:szCs w:val="18"/>
              </w:rPr>
              <w:t>, kunstfag, landbruksfag, skogfag, husdyrfag og fiskerifag på lavere grads nivå. Videreutdanning i helsesøster, psykisk helse og tegnspråk.</w:t>
            </w:r>
          </w:p>
        </w:tc>
        <w:tc>
          <w:tcPr>
            <w:tcW w:w="1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6285C412" w14:textId="77777777" w:rsidR="00DF61B5" w:rsidRPr="00CE2F5F" w:rsidRDefault="00DF61B5" w:rsidP="00CE2F5F">
            <w:pPr>
              <w:jc w:val="center"/>
              <w:textAlignment w:val="center"/>
            </w:pPr>
            <w:r w:rsidRPr="7625745A">
              <w:rPr>
                <w:rFonts w:ascii="Calibri" w:eastAsia="Calibri" w:hAnsi="Calibri" w:cs="Calibri"/>
                <w:kern w:val="24"/>
                <w:sz w:val="18"/>
                <w:szCs w:val="18"/>
              </w:rPr>
              <w:t>71 000</w:t>
            </w:r>
          </w:p>
        </w:tc>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40BFD5CF" w14:textId="77777777" w:rsidR="00DF61B5" w:rsidRPr="00CE2F5F" w:rsidRDefault="00DF61B5" w:rsidP="00CE2F5F">
            <w:pPr>
              <w:jc w:val="center"/>
              <w:textAlignment w:val="center"/>
            </w:pPr>
            <w:r w:rsidRPr="46D54BE2">
              <w:rPr>
                <w:rFonts w:asciiTheme="minorHAnsi" w:eastAsiaTheme="minorEastAsia" w:hAnsiTheme="minorHAnsi" w:cstheme="minorBidi"/>
                <w:kern w:val="24"/>
                <w:sz w:val="18"/>
                <w:szCs w:val="18"/>
              </w:rPr>
              <w:t>38 000</w:t>
            </w:r>
          </w:p>
        </w:tc>
      </w:tr>
      <w:tr w:rsidR="00DF61B5" w:rsidRPr="00323730" w14:paraId="0A6F4DE6" w14:textId="77777777" w:rsidTr="00B96EF5">
        <w:trPr>
          <w:trHeight w:val="459"/>
        </w:trPr>
        <w:tc>
          <w:tcPr>
            <w:tcW w:w="10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5D7382C3" w14:textId="77777777" w:rsidR="00DF61B5" w:rsidRPr="00323730" w:rsidRDefault="00DF61B5" w:rsidP="00DF61B5">
            <w:pPr>
              <w:spacing w:after="0" w:afterAutospacing="0"/>
              <w:jc w:val="center"/>
              <w:textAlignment w:val="center"/>
              <w:rPr>
                <w:rFonts w:ascii="Arial" w:hAnsi="Arial" w:cs="Arial"/>
                <w:sz w:val="36"/>
                <w:szCs w:val="36"/>
              </w:rPr>
            </w:pPr>
            <w:r w:rsidRPr="00323730">
              <w:rPr>
                <w:rFonts w:ascii="Calibri" w:hAnsi="Calibri" w:cs="Calibri"/>
                <w:kern w:val="24"/>
                <w:sz w:val="18"/>
                <w:szCs w:val="18"/>
              </w:rPr>
              <w:t>F</w:t>
            </w:r>
          </w:p>
        </w:tc>
        <w:tc>
          <w:tcPr>
            <w:tcW w:w="4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336C5F7D" w14:textId="77777777" w:rsidR="00DF61B5" w:rsidRPr="00323730" w:rsidRDefault="00DF61B5" w:rsidP="00DF61B5">
            <w:pPr>
              <w:spacing w:after="0" w:afterAutospacing="0"/>
              <w:textAlignment w:val="center"/>
              <w:rPr>
                <w:rFonts w:ascii="Arial" w:hAnsi="Arial" w:cs="Arial"/>
                <w:sz w:val="36"/>
                <w:szCs w:val="36"/>
              </w:rPr>
            </w:pPr>
            <w:r w:rsidRPr="00323730">
              <w:rPr>
                <w:rFonts w:ascii="Calibri" w:hAnsi="Calibri" w:cs="Calibri"/>
                <w:kern w:val="24"/>
                <w:sz w:val="18"/>
                <w:szCs w:val="18"/>
              </w:rPr>
              <w:t xml:space="preserve">Humanistiske og samfunnsvitenskapelige fag på lavere grads nivå, økonomi og administrasjon på lavere grads nivå, revisor-, sosionom-, bibliotekarutdanning, reiseliv og </w:t>
            </w:r>
            <w:proofErr w:type="spellStart"/>
            <w:r w:rsidRPr="00323730">
              <w:rPr>
                <w:rFonts w:ascii="Calibri" w:hAnsi="Calibri" w:cs="Calibri"/>
                <w:kern w:val="24"/>
                <w:sz w:val="18"/>
                <w:szCs w:val="18"/>
              </w:rPr>
              <w:t>ex.phil</w:t>
            </w:r>
            <w:proofErr w:type="spellEnd"/>
            <w:r w:rsidRPr="00323730">
              <w:rPr>
                <w:rFonts w:ascii="Calibri" w:hAnsi="Calibri" w:cs="Calibri"/>
                <w:kern w:val="24"/>
                <w:sz w:val="18"/>
                <w:szCs w:val="18"/>
              </w:rPr>
              <w:t>.</w:t>
            </w:r>
          </w:p>
        </w:tc>
        <w:tc>
          <w:tcPr>
            <w:tcW w:w="159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5F98006C" w14:textId="77777777" w:rsidR="00DF61B5" w:rsidRPr="00CE2F5F" w:rsidRDefault="00DF61B5" w:rsidP="00CE2F5F">
            <w:pPr>
              <w:jc w:val="center"/>
              <w:textAlignment w:val="center"/>
            </w:pPr>
            <w:r w:rsidRPr="7625745A">
              <w:rPr>
                <w:rFonts w:ascii="Calibri" w:eastAsia="Calibri" w:hAnsi="Calibri" w:cs="Calibri"/>
                <w:kern w:val="24"/>
                <w:sz w:val="18"/>
                <w:szCs w:val="18"/>
              </w:rPr>
              <w:t>59 000</w:t>
            </w:r>
          </w:p>
        </w:tc>
        <w:tc>
          <w:tcPr>
            <w:tcW w:w="18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9" w:type="dxa"/>
              <w:left w:w="9" w:type="dxa"/>
              <w:bottom w:w="0" w:type="dxa"/>
              <w:right w:w="9" w:type="dxa"/>
            </w:tcMar>
            <w:vAlign w:val="center"/>
            <w:hideMark/>
          </w:tcPr>
          <w:p w14:paraId="65550A0C" w14:textId="77777777" w:rsidR="00DF61B5" w:rsidRPr="00CE2F5F" w:rsidRDefault="00DF61B5" w:rsidP="00CE2F5F">
            <w:pPr>
              <w:jc w:val="center"/>
              <w:textAlignment w:val="center"/>
            </w:pPr>
            <w:r w:rsidRPr="46D54BE2">
              <w:rPr>
                <w:rFonts w:asciiTheme="minorHAnsi" w:eastAsiaTheme="minorEastAsia" w:hAnsiTheme="minorHAnsi" w:cstheme="minorBidi"/>
                <w:kern w:val="24"/>
                <w:sz w:val="18"/>
                <w:szCs w:val="18"/>
              </w:rPr>
              <w:t>32 000</w:t>
            </w:r>
          </w:p>
        </w:tc>
      </w:tr>
    </w:tbl>
    <w:p w14:paraId="6B0C145E" w14:textId="77777777" w:rsidR="00DF61B5" w:rsidRDefault="00DF61B5" w:rsidP="00DF61B5">
      <w:pPr>
        <w:spacing w:after="160" w:afterAutospacing="0" w:line="259" w:lineRule="auto"/>
        <w:rPr>
          <w:rFonts w:ascii="Arial" w:eastAsiaTheme="majorEastAsia" w:hAnsi="Arial" w:cs="Arial"/>
          <w:sz w:val="20"/>
        </w:rPr>
      </w:pPr>
    </w:p>
    <w:p w14:paraId="4976539B" w14:textId="0A68A0CD" w:rsidR="00DF61B5" w:rsidRPr="00B96EF5" w:rsidRDefault="00DF61B5" w:rsidP="00DF61B5">
      <w:pPr>
        <w:spacing w:after="160" w:afterAutospacing="0" w:line="259" w:lineRule="auto"/>
        <w:rPr>
          <w:rFonts w:asciiTheme="minorHAnsi" w:eastAsiaTheme="minorEastAsia" w:hAnsiTheme="minorHAnsi" w:cstheme="minorBidi"/>
          <w:sz w:val="22"/>
          <w:szCs w:val="22"/>
          <w:lang w:eastAsia="en-US"/>
        </w:rPr>
      </w:pPr>
      <w:r w:rsidRPr="00B96EF5">
        <w:rPr>
          <w:rFonts w:asciiTheme="minorHAnsi" w:eastAsiaTheme="minorEastAsia" w:hAnsiTheme="minorHAnsi" w:cstheme="minorBidi"/>
          <w:sz w:val="22"/>
          <w:szCs w:val="22"/>
          <w:lang w:eastAsia="en-US"/>
        </w:rPr>
        <w:t>Tabell</w:t>
      </w:r>
      <w:r w:rsidR="00B96EF5">
        <w:rPr>
          <w:rFonts w:asciiTheme="minorHAnsi" w:eastAsiaTheme="minorEastAsia" w:hAnsiTheme="minorHAnsi" w:cstheme="minorBidi"/>
          <w:sz w:val="22"/>
          <w:szCs w:val="22"/>
          <w:lang w:eastAsia="en-US"/>
        </w:rPr>
        <w:t xml:space="preserve"> 5</w:t>
      </w:r>
      <w:r w:rsidRPr="00B96EF5">
        <w:rPr>
          <w:rFonts w:asciiTheme="minorHAnsi" w:eastAsiaTheme="minorEastAsia" w:hAnsiTheme="minorHAnsi" w:cstheme="minorBidi"/>
          <w:sz w:val="22"/>
          <w:szCs w:val="22"/>
          <w:lang w:eastAsia="en-US"/>
        </w:rPr>
        <w:t>: Kunnskapsdepartementets finansieringskategorier (2017)</w:t>
      </w:r>
    </w:p>
    <w:p w14:paraId="5B724C14" w14:textId="56D15291" w:rsidR="00077A27" w:rsidRDefault="00077A27" w:rsidP="00077A27">
      <w:pPr>
        <w:rPr>
          <w:rFonts w:eastAsiaTheme="majorEastAsia"/>
        </w:rPr>
      </w:pPr>
      <w:r>
        <w:rPr>
          <w:shd w:val="clear" w:color="auto" w:fill="FFFFFF"/>
        </w:rPr>
        <w:t xml:space="preserve">Vi </w:t>
      </w:r>
      <w:r w:rsidRPr="00F56C10">
        <w:rPr>
          <w:shd w:val="clear" w:color="auto" w:fill="FFFFFF"/>
        </w:rPr>
        <w:t>regner ut hvilken</w:t>
      </w:r>
      <w:r w:rsidRPr="00F56C10">
        <w:rPr>
          <w:rFonts w:asciiTheme="majorEastAsia" w:eastAsiaTheme="majorEastAsia" w:hAnsiTheme="majorEastAsia" w:cstheme="majorEastAsia"/>
        </w:rPr>
        <w:t xml:space="preserve"> </w:t>
      </w:r>
      <w:r>
        <w:rPr>
          <w:rFonts w:asciiTheme="majorEastAsia" w:eastAsiaTheme="majorEastAsia" w:hAnsiTheme="majorEastAsia" w:cstheme="majorEastAsia"/>
        </w:rPr>
        <w:t xml:space="preserve">finansiering </w:t>
      </w:r>
      <w:r w:rsidRPr="00F56C10">
        <w:rPr>
          <w:rFonts w:asciiTheme="majorEastAsia" w:eastAsiaTheme="majorEastAsia" w:hAnsiTheme="majorEastAsia" w:cstheme="majorEastAsia"/>
        </w:rPr>
        <w:t>institusjonen</w:t>
      </w:r>
      <w:r>
        <w:rPr>
          <w:rFonts w:asciiTheme="majorEastAsia" w:eastAsiaTheme="majorEastAsia" w:hAnsiTheme="majorEastAsia" w:cstheme="majorEastAsia"/>
        </w:rPr>
        <w:t xml:space="preserve"> som tilbyr programmet </w:t>
      </w:r>
      <w:r w:rsidR="00DF61B5">
        <w:rPr>
          <w:rFonts w:asciiTheme="majorEastAsia" w:eastAsiaTheme="majorEastAsia" w:hAnsiTheme="majorEastAsia" w:cstheme="majorEastAsia"/>
        </w:rPr>
        <w:t>i kategori C</w:t>
      </w:r>
      <w:r w:rsidR="00B96EF5">
        <w:rPr>
          <w:rFonts w:asciiTheme="majorEastAsia" w:eastAsiaTheme="majorEastAsia" w:hAnsiTheme="majorEastAsia" w:cstheme="majorEastAsia"/>
        </w:rPr>
        <w:t>,</w:t>
      </w:r>
      <w:r w:rsidR="00DF61B5">
        <w:rPr>
          <w:rFonts w:asciiTheme="majorEastAsia" w:eastAsiaTheme="majorEastAsia" w:hAnsiTheme="majorEastAsia" w:cstheme="majorEastAsia"/>
        </w:rPr>
        <w:t xml:space="preserve"> </w:t>
      </w:r>
      <w:r>
        <w:rPr>
          <w:rFonts w:asciiTheme="majorEastAsia" w:eastAsiaTheme="majorEastAsia" w:hAnsiTheme="majorEastAsia" w:cstheme="majorEastAsia"/>
        </w:rPr>
        <w:t>vil få</w:t>
      </w:r>
      <w:r w:rsidRPr="00F56C10">
        <w:rPr>
          <w:rFonts w:asciiTheme="majorEastAsia" w:eastAsiaTheme="majorEastAsia" w:hAnsiTheme="majorEastAsia" w:cstheme="majorEastAsia"/>
        </w:rPr>
        <w:t xml:space="preserve"> </w:t>
      </w:r>
      <w:r>
        <w:rPr>
          <w:rFonts w:asciiTheme="majorEastAsia" w:eastAsiaTheme="majorEastAsia" w:hAnsiTheme="majorEastAsia" w:cstheme="majorEastAsia"/>
        </w:rPr>
        <w:t>i form av i</w:t>
      </w:r>
      <w:r w:rsidRPr="00F56C10">
        <w:rPr>
          <w:rFonts w:asciiTheme="majorEastAsia" w:eastAsiaTheme="majorEastAsia" w:hAnsiTheme="majorEastAsia" w:cstheme="majorEastAsia"/>
        </w:rPr>
        <w:t>nntekter</w:t>
      </w:r>
      <w:r>
        <w:rPr>
          <w:rFonts w:asciiTheme="majorEastAsia" w:eastAsiaTheme="majorEastAsia" w:hAnsiTheme="majorEastAsia" w:cstheme="majorEastAsia"/>
        </w:rPr>
        <w:t xml:space="preserve"> fra studentbetaling og resultatbevilgning, for 4 tilfeller:</w:t>
      </w:r>
      <w:r w:rsidRPr="00F56C10">
        <w:rPr>
          <w:rFonts w:asciiTheme="majorEastAsia" w:eastAsiaTheme="majorEastAsia" w:hAnsiTheme="majorEastAsia" w:cstheme="majorEastAsia"/>
        </w:rPr>
        <w:t xml:space="preserve"> </w:t>
      </w:r>
      <w:r>
        <w:rPr>
          <w:rFonts w:asciiTheme="majorEastAsia" w:eastAsiaTheme="majorEastAsia" w:hAnsiTheme="majorEastAsia" w:cstheme="majorEastAsia"/>
        </w:rPr>
        <w:t>pr</w:t>
      </w:r>
      <w:r w:rsidRPr="00F56C10">
        <w:rPr>
          <w:rFonts w:asciiTheme="majorEastAsia" w:eastAsiaTheme="majorEastAsia" w:hAnsiTheme="majorEastAsia" w:cstheme="majorEastAsia"/>
        </w:rPr>
        <w:t>ogrammet har 100 % egenfinansiering, 82 % egenfinansiering</w:t>
      </w:r>
      <w:r>
        <w:rPr>
          <w:rFonts w:asciiTheme="majorEastAsia" w:eastAsiaTheme="majorEastAsia" w:hAnsiTheme="majorEastAsia" w:cstheme="majorEastAsia"/>
        </w:rPr>
        <w:t>, 51 % egenfinansiering</w:t>
      </w:r>
      <w:r w:rsidRPr="00F56C10">
        <w:rPr>
          <w:rFonts w:asciiTheme="majorEastAsia" w:eastAsiaTheme="majorEastAsia" w:hAnsiTheme="majorEastAsia" w:cstheme="majorEastAsia"/>
        </w:rPr>
        <w:t xml:space="preserve"> og ingen egenfinansiering</w:t>
      </w:r>
      <w:r>
        <w:rPr>
          <w:rFonts w:asciiTheme="majorEastAsia" w:eastAsiaTheme="majorEastAsia" w:hAnsiTheme="majorEastAsia" w:cstheme="majorEastAsia"/>
        </w:rPr>
        <w:t>. Resultatbevilgningen for studiepoengproduksjon i KDs finansieringsmodell utbetales etterskuddsvis (2 år etter).</w:t>
      </w:r>
    </w:p>
    <w:p w14:paraId="31B38700" w14:textId="77777777" w:rsidR="00077A27" w:rsidRPr="00F56C10" w:rsidRDefault="00077A27" w:rsidP="00077A27">
      <w:pPr>
        <w:pStyle w:val="Listeavsnitt"/>
        <w:numPr>
          <w:ilvl w:val="0"/>
          <w:numId w:val="27"/>
        </w:numPr>
        <w:rPr>
          <w:rFonts w:eastAsiaTheme="majorEastAsia"/>
          <w:b/>
        </w:rPr>
      </w:pPr>
      <w:r w:rsidRPr="00F56C10">
        <w:rPr>
          <w:rFonts w:eastAsiaTheme="majorEastAsia"/>
          <w:b/>
        </w:rPr>
        <w:t>100 % egenfinansiering (ingen studentfinansiering)</w:t>
      </w:r>
    </w:p>
    <w:p w14:paraId="4F4EE12B" w14:textId="77777777" w:rsidR="00077A27" w:rsidRDefault="00077A27" w:rsidP="00077A27">
      <w:pPr>
        <w:pStyle w:val="Listeavsnitt"/>
        <w:rPr>
          <w:rFonts w:eastAsiaTheme="majorEastAsia"/>
        </w:rPr>
      </w:pPr>
      <w:r w:rsidRPr="00F56C10">
        <w:rPr>
          <w:rFonts w:eastAsiaTheme="majorEastAsia"/>
        </w:rPr>
        <w:lastRenderedPageBreak/>
        <w:t>I dette tilfellet er det ingen egenbetaling fra student (gratis studium) og institusjonen får resultatbevilgning fra KD lik resultatkomponenten på 64 000 kroner per årsenhet</w:t>
      </w:r>
      <w:r>
        <w:rPr>
          <w:rFonts w:eastAsiaTheme="majorEastAsia"/>
        </w:rPr>
        <w:t xml:space="preserve"> for de studenter som fullfører</w:t>
      </w:r>
      <w:r w:rsidRPr="00F56C10">
        <w:rPr>
          <w:rFonts w:eastAsiaTheme="majorEastAsia"/>
        </w:rPr>
        <w:t xml:space="preserve">. </w:t>
      </w:r>
    </w:p>
    <w:p w14:paraId="2021041E" w14:textId="77777777" w:rsidR="00077A27" w:rsidRDefault="00077A27" w:rsidP="00077A27">
      <w:pPr>
        <w:pStyle w:val="Listeavsnitt"/>
        <w:rPr>
          <w:rFonts w:eastAsiaTheme="majorEastAsia"/>
        </w:rPr>
      </w:pPr>
    </w:p>
    <w:p w14:paraId="2DA7B00B" w14:textId="77777777" w:rsidR="00077A27" w:rsidRPr="00F56C10" w:rsidRDefault="00077A27" w:rsidP="00077A27">
      <w:pPr>
        <w:pStyle w:val="Listeavsnitt"/>
        <w:rPr>
          <w:rFonts w:eastAsiaTheme="majorEastAsia"/>
        </w:rPr>
      </w:pPr>
      <w:r w:rsidRPr="00F56C10">
        <w:rPr>
          <w:rFonts w:eastAsiaTheme="majorEastAsia"/>
        </w:rPr>
        <w:t>Totale inntekter for institusjonen per årsenhet blir da:</w:t>
      </w:r>
    </w:p>
    <w:p w14:paraId="151951DE" w14:textId="77777777" w:rsidR="00077A27" w:rsidRPr="00F56C10" w:rsidRDefault="28257F58" w:rsidP="1268772F">
      <w:pPr>
        <w:ind w:left="1416"/>
        <w:rPr>
          <w:rFonts w:asciiTheme="majorEastAsia" w:eastAsiaTheme="majorEastAsia" w:hAnsiTheme="majorEastAsia" w:cstheme="majorEastAsia"/>
        </w:rPr>
      </w:pPr>
      <w:r>
        <w:rPr>
          <w:rFonts w:asciiTheme="majorEastAsia" w:eastAsiaTheme="majorEastAsia" w:hAnsiTheme="majorEastAsia" w:cstheme="majorEastAsia"/>
        </w:rPr>
        <w:t xml:space="preserve">            0 kr (studentbetaling)</w:t>
      </w:r>
    </w:p>
    <w:p w14:paraId="07666A26" w14:textId="77777777" w:rsidR="00077A27" w:rsidRPr="00457669" w:rsidRDefault="00077A27" w:rsidP="00077A27">
      <w:pPr>
        <w:ind w:left="1416"/>
        <w:rPr>
          <w:rFonts w:eastAsiaTheme="majorEastAsia"/>
          <w:u w:val="single"/>
        </w:rPr>
      </w:pPr>
      <w:r w:rsidRPr="00457669">
        <w:rPr>
          <w:rFonts w:eastAsiaTheme="majorEastAsia"/>
          <w:u w:val="single"/>
        </w:rPr>
        <w:t>+ 64 000 kr (resultatbevilgning)</w:t>
      </w:r>
    </w:p>
    <w:p w14:paraId="7F02E5A1" w14:textId="77777777" w:rsidR="00077A27" w:rsidRDefault="00077A27" w:rsidP="00077A27">
      <w:pPr>
        <w:ind w:left="1416"/>
        <w:rPr>
          <w:rFonts w:eastAsiaTheme="majorEastAsia"/>
          <w:u w:val="single"/>
        </w:rPr>
      </w:pPr>
      <w:r w:rsidRPr="00457669">
        <w:rPr>
          <w:rFonts w:eastAsiaTheme="majorEastAsia"/>
          <w:u w:val="single"/>
        </w:rPr>
        <w:t xml:space="preserve">= 64 000 kr </w:t>
      </w:r>
    </w:p>
    <w:p w14:paraId="2D3049AD" w14:textId="77777777" w:rsidR="00077A27" w:rsidRDefault="00077A27" w:rsidP="00077A27">
      <w:pPr>
        <w:ind w:left="708" w:firstLine="2"/>
        <w:rPr>
          <w:rFonts w:eastAsiaTheme="majorEastAsia"/>
          <w:u w:val="single"/>
        </w:rPr>
      </w:pPr>
      <w:r>
        <w:rPr>
          <w:rFonts w:eastAsiaTheme="majorEastAsia"/>
        </w:rPr>
        <w:t xml:space="preserve">Resultatbevilgningen dekker i dette tilfellet 35 % av kostnaden på 182 000 kr. Resten av kostnaden dekkes av institusjonens rammebevilgning. </w:t>
      </w:r>
      <w:r w:rsidRPr="00E42D95">
        <w:rPr>
          <w:rFonts w:eastAsiaTheme="majorEastAsia"/>
        </w:rPr>
        <w:t>Kostnad for studenter som ikke gjennomfører</w:t>
      </w:r>
      <w:r>
        <w:rPr>
          <w:rFonts w:eastAsiaTheme="majorEastAsia"/>
        </w:rPr>
        <w:t>,</w:t>
      </w:r>
      <w:r w:rsidRPr="00E42D95">
        <w:rPr>
          <w:rFonts w:eastAsiaTheme="majorEastAsia"/>
        </w:rPr>
        <w:t xml:space="preserve"> vil i sin helhet måtte dekkes av institusjonens rammebevilgning.</w:t>
      </w:r>
    </w:p>
    <w:p w14:paraId="308732D0" w14:textId="77777777" w:rsidR="00077A27" w:rsidRPr="00457669" w:rsidRDefault="00077A27" w:rsidP="00077A27">
      <w:pPr>
        <w:pStyle w:val="Listeavsnitt"/>
        <w:numPr>
          <w:ilvl w:val="0"/>
          <w:numId w:val="27"/>
        </w:numPr>
        <w:rPr>
          <w:rFonts w:eastAsiaTheme="majorEastAsia"/>
          <w:b/>
        </w:rPr>
      </w:pPr>
      <w:r w:rsidRPr="00457669">
        <w:rPr>
          <w:rFonts w:eastAsiaTheme="majorEastAsia"/>
          <w:b/>
        </w:rPr>
        <w:t>8</w:t>
      </w:r>
      <w:r>
        <w:rPr>
          <w:rFonts w:eastAsiaTheme="majorEastAsia"/>
          <w:b/>
        </w:rPr>
        <w:t>0</w:t>
      </w:r>
      <w:r w:rsidRPr="00457669">
        <w:rPr>
          <w:rFonts w:eastAsiaTheme="majorEastAsia"/>
          <w:b/>
        </w:rPr>
        <w:t xml:space="preserve"> % egenfinansiering </w:t>
      </w:r>
    </w:p>
    <w:p w14:paraId="4DB51B8C" w14:textId="77777777" w:rsidR="00077A27" w:rsidRPr="00457669" w:rsidRDefault="00077A27" w:rsidP="00077A27">
      <w:pPr>
        <w:pStyle w:val="Listeavsnitt"/>
        <w:rPr>
          <w:rFonts w:eastAsiaTheme="majorEastAsia"/>
        </w:rPr>
      </w:pPr>
      <w:r w:rsidRPr="00457669">
        <w:rPr>
          <w:rFonts w:eastAsiaTheme="majorEastAsia"/>
        </w:rPr>
        <w:t xml:space="preserve">I dette tilfellet dekker studenten dekker </w:t>
      </w:r>
      <w:r>
        <w:rPr>
          <w:rFonts w:eastAsiaTheme="majorEastAsia"/>
        </w:rPr>
        <w:t>20</w:t>
      </w:r>
      <w:r w:rsidRPr="00457669">
        <w:rPr>
          <w:rFonts w:eastAsiaTheme="majorEastAsia"/>
        </w:rPr>
        <w:t xml:space="preserve"> % av KDs stykkprisfinansiering</w:t>
      </w:r>
      <w:r>
        <w:rPr>
          <w:rFonts w:eastAsiaTheme="majorEastAsia"/>
        </w:rPr>
        <w:t xml:space="preserve">. Dette tilsvarer </w:t>
      </w:r>
      <w:r w:rsidRPr="00457669">
        <w:rPr>
          <w:rFonts w:eastAsiaTheme="majorEastAsia"/>
        </w:rPr>
        <w:t>3</w:t>
      </w:r>
      <w:r>
        <w:rPr>
          <w:rFonts w:eastAsiaTheme="majorEastAsia"/>
        </w:rPr>
        <w:t>6 400</w:t>
      </w:r>
      <w:r w:rsidRPr="00457669">
        <w:rPr>
          <w:rFonts w:eastAsiaTheme="majorEastAsia"/>
        </w:rPr>
        <w:t xml:space="preserve"> kroner per årsenhet</w:t>
      </w:r>
      <w:r>
        <w:rPr>
          <w:rFonts w:eastAsiaTheme="majorEastAsia"/>
        </w:rPr>
        <w:t xml:space="preserve"> eller </w:t>
      </w:r>
      <w:r w:rsidRPr="00457669">
        <w:rPr>
          <w:rFonts w:eastAsiaTheme="majorEastAsia"/>
        </w:rPr>
        <w:t>4</w:t>
      </w:r>
      <w:r>
        <w:rPr>
          <w:rFonts w:eastAsiaTheme="majorEastAsia"/>
        </w:rPr>
        <w:t xml:space="preserve"> 55</w:t>
      </w:r>
      <w:r w:rsidRPr="00457669">
        <w:rPr>
          <w:rFonts w:eastAsiaTheme="majorEastAsia"/>
        </w:rPr>
        <w:t>0 kr per emne av 7,5 studiepoeng</w:t>
      </w:r>
      <w:r>
        <w:rPr>
          <w:rFonts w:eastAsiaTheme="majorEastAsia"/>
        </w:rPr>
        <w:t>. Studenten dekker kostnaden uavhengig av om han/hun fullfører eller ikke. I</w:t>
      </w:r>
      <w:r w:rsidRPr="00457669">
        <w:rPr>
          <w:rFonts w:eastAsiaTheme="majorEastAsia"/>
        </w:rPr>
        <w:t>nstitusjonen får resultatbevilgning fra KD lik 8</w:t>
      </w:r>
      <w:r>
        <w:rPr>
          <w:rFonts w:eastAsiaTheme="majorEastAsia"/>
        </w:rPr>
        <w:t>0</w:t>
      </w:r>
      <w:r w:rsidRPr="00457669">
        <w:rPr>
          <w:rFonts w:eastAsiaTheme="majorEastAsia"/>
        </w:rPr>
        <w:t xml:space="preserve"> % av resultatkomponenten på 64 000 kroner per årsenhet</w:t>
      </w:r>
      <w:r>
        <w:rPr>
          <w:rFonts w:eastAsiaTheme="majorEastAsia"/>
        </w:rPr>
        <w:t xml:space="preserve"> som produseres</w:t>
      </w:r>
      <w:r w:rsidRPr="00457669">
        <w:rPr>
          <w:rFonts w:eastAsiaTheme="majorEastAsia"/>
        </w:rPr>
        <w:t>. Totale inntekter for institusjonen per årsenhet blir da:</w:t>
      </w:r>
    </w:p>
    <w:p w14:paraId="37EE965D" w14:textId="77777777" w:rsidR="00077A27" w:rsidRPr="00457669" w:rsidRDefault="00077A27" w:rsidP="00077A27">
      <w:pPr>
        <w:pStyle w:val="Listeavsnitt"/>
        <w:rPr>
          <w:rFonts w:eastAsiaTheme="majorEastAsia"/>
        </w:rPr>
      </w:pPr>
    </w:p>
    <w:p w14:paraId="570B32B8" w14:textId="77777777" w:rsidR="00077A27" w:rsidRPr="00457669" w:rsidRDefault="28257F58" w:rsidP="1268772F">
      <w:pPr>
        <w:ind w:left="1416"/>
        <w:rPr>
          <w:rFonts w:asciiTheme="majorEastAsia" w:eastAsiaTheme="majorEastAsia" w:hAnsiTheme="majorEastAsia" w:cstheme="majorEastAsia"/>
        </w:rPr>
      </w:pPr>
      <w:r>
        <w:rPr>
          <w:rFonts w:asciiTheme="majorEastAsia" w:eastAsiaTheme="majorEastAsia" w:hAnsiTheme="majorEastAsia" w:cstheme="majorEastAsia"/>
        </w:rPr>
        <w:t xml:space="preserve">   36 400 kr (studentbetaling)</w:t>
      </w:r>
    </w:p>
    <w:p w14:paraId="63A59AE0" w14:textId="77777777" w:rsidR="00077A27" w:rsidRPr="00457669" w:rsidRDefault="00077A27" w:rsidP="00077A27">
      <w:pPr>
        <w:ind w:left="1416"/>
        <w:rPr>
          <w:rFonts w:eastAsiaTheme="majorEastAsia"/>
          <w:u w:val="single"/>
        </w:rPr>
      </w:pPr>
      <w:r>
        <w:rPr>
          <w:rFonts w:eastAsiaTheme="majorEastAsia"/>
          <w:u w:val="single"/>
        </w:rPr>
        <w:t>+ 51 200</w:t>
      </w:r>
      <w:r w:rsidRPr="00457669">
        <w:rPr>
          <w:rFonts w:eastAsiaTheme="majorEastAsia"/>
          <w:u w:val="single"/>
        </w:rPr>
        <w:t xml:space="preserve"> kr (resultatbevilgning)</w:t>
      </w:r>
    </w:p>
    <w:p w14:paraId="63338201" w14:textId="77777777" w:rsidR="00077A27" w:rsidRDefault="00077A27" w:rsidP="00077A27">
      <w:pPr>
        <w:ind w:left="1416"/>
        <w:rPr>
          <w:rFonts w:eastAsiaTheme="majorEastAsia"/>
          <w:u w:val="single"/>
        </w:rPr>
      </w:pPr>
      <w:r w:rsidRPr="00457669">
        <w:rPr>
          <w:rFonts w:eastAsiaTheme="majorEastAsia"/>
          <w:u w:val="single"/>
        </w:rPr>
        <w:t xml:space="preserve">= </w:t>
      </w:r>
      <w:r>
        <w:rPr>
          <w:rFonts w:eastAsiaTheme="majorEastAsia"/>
          <w:u w:val="single"/>
        </w:rPr>
        <w:t xml:space="preserve">87 600 </w:t>
      </w:r>
      <w:r w:rsidRPr="00457669">
        <w:rPr>
          <w:rFonts w:eastAsiaTheme="majorEastAsia"/>
          <w:u w:val="single"/>
        </w:rPr>
        <w:t xml:space="preserve">kr </w:t>
      </w:r>
    </w:p>
    <w:p w14:paraId="4A0F3927" w14:textId="77777777" w:rsidR="00077A27" w:rsidRDefault="00077A27" w:rsidP="00077A27">
      <w:pPr>
        <w:ind w:left="708" w:firstLine="2"/>
        <w:rPr>
          <w:rFonts w:eastAsiaTheme="majorEastAsia"/>
          <w:u w:val="single"/>
        </w:rPr>
      </w:pPr>
      <w:r w:rsidRPr="00EF66A0">
        <w:rPr>
          <w:rFonts w:eastAsiaTheme="majorEastAsia"/>
        </w:rPr>
        <w:t>Med 8</w:t>
      </w:r>
      <w:r>
        <w:rPr>
          <w:rFonts w:eastAsiaTheme="majorEastAsia"/>
        </w:rPr>
        <w:t>0</w:t>
      </w:r>
      <w:r w:rsidRPr="00EF66A0">
        <w:rPr>
          <w:rFonts w:eastAsiaTheme="majorEastAsia"/>
        </w:rPr>
        <w:t xml:space="preserve"> </w:t>
      </w:r>
      <w:r>
        <w:rPr>
          <w:rFonts w:eastAsiaTheme="majorEastAsia"/>
        </w:rPr>
        <w:t>%</w:t>
      </w:r>
      <w:r w:rsidRPr="00EF66A0">
        <w:rPr>
          <w:rFonts w:eastAsiaTheme="majorEastAsia"/>
        </w:rPr>
        <w:t xml:space="preserve"> egenfinansiering dekkes</w:t>
      </w:r>
      <w:r>
        <w:rPr>
          <w:rFonts w:eastAsiaTheme="majorEastAsia"/>
        </w:rPr>
        <w:t xml:space="preserve"> 48 % av kostnaden på 182 000 kr. </w:t>
      </w:r>
    </w:p>
    <w:p w14:paraId="4510705F" w14:textId="77777777" w:rsidR="00077A27" w:rsidRPr="00457669" w:rsidRDefault="00077A27" w:rsidP="00077A27">
      <w:pPr>
        <w:pStyle w:val="Listeavsnitt"/>
        <w:numPr>
          <w:ilvl w:val="0"/>
          <w:numId w:val="27"/>
        </w:numPr>
        <w:rPr>
          <w:rFonts w:eastAsiaTheme="majorEastAsia"/>
          <w:b/>
        </w:rPr>
      </w:pPr>
      <w:r>
        <w:rPr>
          <w:rFonts w:eastAsiaTheme="majorEastAsia"/>
          <w:b/>
        </w:rPr>
        <w:t>51</w:t>
      </w:r>
      <w:r w:rsidRPr="00457669">
        <w:rPr>
          <w:rFonts w:eastAsiaTheme="majorEastAsia"/>
          <w:b/>
        </w:rPr>
        <w:t xml:space="preserve"> % egenfinansiering </w:t>
      </w:r>
    </w:p>
    <w:p w14:paraId="22B3D93C" w14:textId="77777777" w:rsidR="00077A27" w:rsidRPr="00457669" w:rsidRDefault="00077A27" w:rsidP="00077A27">
      <w:pPr>
        <w:pStyle w:val="Listeavsnitt"/>
        <w:rPr>
          <w:rFonts w:eastAsiaTheme="majorEastAsia"/>
        </w:rPr>
      </w:pPr>
      <w:r w:rsidRPr="00457669">
        <w:rPr>
          <w:rFonts w:eastAsiaTheme="majorEastAsia"/>
        </w:rPr>
        <w:t xml:space="preserve">I dette tilfellet dekker studenten dekker </w:t>
      </w:r>
      <w:r>
        <w:rPr>
          <w:rFonts w:eastAsiaTheme="majorEastAsia"/>
        </w:rPr>
        <w:t>49</w:t>
      </w:r>
      <w:r w:rsidRPr="00457669">
        <w:rPr>
          <w:rFonts w:eastAsiaTheme="majorEastAsia"/>
        </w:rPr>
        <w:t xml:space="preserve"> % av KDs stykkprisfinansiering</w:t>
      </w:r>
      <w:r>
        <w:rPr>
          <w:rFonts w:eastAsiaTheme="majorEastAsia"/>
        </w:rPr>
        <w:t xml:space="preserve">. Dette tilsvarer 89 180 kr per årsenhet eller 11 148 kr </w:t>
      </w:r>
      <w:r w:rsidRPr="00457669">
        <w:rPr>
          <w:rFonts w:eastAsiaTheme="majorEastAsia"/>
        </w:rPr>
        <w:t>per emne av 7,5 studiepoeng</w:t>
      </w:r>
      <w:r>
        <w:rPr>
          <w:rFonts w:eastAsiaTheme="majorEastAsia"/>
        </w:rPr>
        <w:t>. I</w:t>
      </w:r>
      <w:r w:rsidRPr="00457669">
        <w:rPr>
          <w:rFonts w:eastAsiaTheme="majorEastAsia"/>
        </w:rPr>
        <w:t xml:space="preserve">nstitusjonen får resultatbevilgning fra KD lik </w:t>
      </w:r>
      <w:r>
        <w:rPr>
          <w:rFonts w:eastAsiaTheme="majorEastAsia"/>
        </w:rPr>
        <w:t>51</w:t>
      </w:r>
      <w:r w:rsidRPr="00457669">
        <w:rPr>
          <w:rFonts w:eastAsiaTheme="majorEastAsia"/>
        </w:rPr>
        <w:t xml:space="preserve"> % av resultatkomponenten på 64 000 kroner per årsenhet</w:t>
      </w:r>
      <w:r>
        <w:rPr>
          <w:rFonts w:eastAsiaTheme="majorEastAsia"/>
        </w:rPr>
        <w:t xml:space="preserve"> som fullfører</w:t>
      </w:r>
      <w:r w:rsidRPr="00457669">
        <w:rPr>
          <w:rFonts w:eastAsiaTheme="majorEastAsia"/>
        </w:rPr>
        <w:t>. Totale inntekter for institusjonen per årsenhet blir da:</w:t>
      </w:r>
    </w:p>
    <w:p w14:paraId="68A19BC6" w14:textId="4148517C" w:rsidR="00077A27" w:rsidRDefault="00077A27" w:rsidP="00077A27">
      <w:pPr>
        <w:pStyle w:val="Listeavsnitt"/>
        <w:rPr>
          <w:rFonts w:eastAsiaTheme="majorEastAsia"/>
        </w:rPr>
      </w:pPr>
    </w:p>
    <w:p w14:paraId="1AE1F7FD" w14:textId="77777777" w:rsidR="00077A27" w:rsidRPr="00970F23" w:rsidRDefault="28257F58" w:rsidP="1268772F">
      <w:pPr>
        <w:ind w:left="1416"/>
        <w:rPr>
          <w:rFonts w:asciiTheme="majorEastAsia" w:eastAsiaTheme="majorEastAsia" w:hAnsiTheme="majorEastAsia" w:cstheme="majorEastAsia"/>
        </w:rPr>
      </w:pPr>
      <w:r>
        <w:rPr>
          <w:rFonts w:asciiTheme="majorEastAsia" w:eastAsiaTheme="majorEastAsia" w:hAnsiTheme="majorEastAsia" w:cstheme="majorEastAsia"/>
        </w:rPr>
        <w:t xml:space="preserve">   89 180 kr (studentbetaling)</w:t>
      </w:r>
    </w:p>
    <w:p w14:paraId="69F35E74" w14:textId="77777777" w:rsidR="00077A27" w:rsidRPr="00970F23" w:rsidRDefault="00077A27" w:rsidP="00077A27">
      <w:pPr>
        <w:ind w:left="1416"/>
        <w:rPr>
          <w:rFonts w:eastAsiaTheme="majorEastAsia"/>
          <w:u w:val="single"/>
        </w:rPr>
      </w:pPr>
      <w:r w:rsidRPr="00970F23">
        <w:rPr>
          <w:rFonts w:eastAsiaTheme="majorEastAsia"/>
          <w:u w:val="single"/>
        </w:rPr>
        <w:t>+ 32 640 kr (resultatbevilgning)</w:t>
      </w:r>
    </w:p>
    <w:p w14:paraId="387B7529" w14:textId="77777777" w:rsidR="00077A27" w:rsidRPr="00457669" w:rsidRDefault="00077A27" w:rsidP="00077A27">
      <w:pPr>
        <w:ind w:left="1416"/>
        <w:rPr>
          <w:rFonts w:eastAsiaTheme="majorEastAsia"/>
          <w:u w:val="single"/>
        </w:rPr>
      </w:pPr>
      <w:r w:rsidRPr="00970F23">
        <w:rPr>
          <w:rFonts w:eastAsiaTheme="majorEastAsia"/>
          <w:u w:val="single"/>
        </w:rPr>
        <w:t>=</w:t>
      </w:r>
      <w:r>
        <w:rPr>
          <w:rFonts w:eastAsiaTheme="majorEastAsia"/>
          <w:u w:val="single"/>
        </w:rPr>
        <w:t xml:space="preserve"> 121 829</w:t>
      </w:r>
      <w:r w:rsidRPr="00970F23">
        <w:rPr>
          <w:rFonts w:eastAsiaTheme="majorEastAsia"/>
          <w:u w:val="single"/>
        </w:rPr>
        <w:t xml:space="preserve"> kr </w:t>
      </w:r>
    </w:p>
    <w:p w14:paraId="734A8ABF" w14:textId="77777777" w:rsidR="00077A27" w:rsidRDefault="00077A27" w:rsidP="00077A27">
      <w:pPr>
        <w:ind w:left="708" w:firstLine="2"/>
        <w:rPr>
          <w:rFonts w:eastAsiaTheme="majorEastAsia"/>
        </w:rPr>
      </w:pPr>
      <w:r w:rsidRPr="00EF66A0">
        <w:rPr>
          <w:rFonts w:eastAsiaTheme="majorEastAsia"/>
        </w:rPr>
        <w:t xml:space="preserve">Med </w:t>
      </w:r>
      <w:r>
        <w:rPr>
          <w:rFonts w:eastAsiaTheme="majorEastAsia"/>
        </w:rPr>
        <w:t>51</w:t>
      </w:r>
      <w:r w:rsidRPr="00EF66A0">
        <w:rPr>
          <w:rFonts w:eastAsiaTheme="majorEastAsia"/>
        </w:rPr>
        <w:t xml:space="preserve"> </w:t>
      </w:r>
      <w:r>
        <w:rPr>
          <w:rFonts w:eastAsiaTheme="majorEastAsia"/>
        </w:rPr>
        <w:t>%</w:t>
      </w:r>
      <w:r w:rsidRPr="00EF66A0">
        <w:rPr>
          <w:rFonts w:eastAsiaTheme="majorEastAsia"/>
        </w:rPr>
        <w:t xml:space="preserve"> egenfinansiering dekkes </w:t>
      </w:r>
      <w:r>
        <w:rPr>
          <w:rFonts w:eastAsiaTheme="majorEastAsia"/>
        </w:rPr>
        <w:t xml:space="preserve">67 % av kostnaden på 182 000 kr. </w:t>
      </w:r>
    </w:p>
    <w:p w14:paraId="0DB9ADF6" w14:textId="77777777" w:rsidR="00077A27" w:rsidRPr="00457669" w:rsidRDefault="00077A27" w:rsidP="00077A27">
      <w:pPr>
        <w:pStyle w:val="Listeavsnitt"/>
        <w:numPr>
          <w:ilvl w:val="0"/>
          <w:numId w:val="27"/>
        </w:numPr>
        <w:rPr>
          <w:rFonts w:eastAsiaTheme="majorEastAsia"/>
          <w:b/>
        </w:rPr>
      </w:pPr>
      <w:r w:rsidRPr="00457669">
        <w:rPr>
          <w:rFonts w:eastAsiaTheme="majorEastAsia"/>
          <w:b/>
        </w:rPr>
        <w:lastRenderedPageBreak/>
        <w:t xml:space="preserve">0 % egenfinansiering (100 % studentfinansiering)  </w:t>
      </w:r>
    </w:p>
    <w:p w14:paraId="2753717D" w14:textId="77777777" w:rsidR="00077A27" w:rsidRPr="00457669" w:rsidRDefault="00077A27" w:rsidP="00077A27">
      <w:pPr>
        <w:pStyle w:val="Listeavsnitt"/>
        <w:rPr>
          <w:rFonts w:eastAsiaTheme="majorEastAsia"/>
        </w:rPr>
      </w:pPr>
      <w:r w:rsidRPr="00457669">
        <w:rPr>
          <w:rFonts w:eastAsiaTheme="majorEastAsia"/>
        </w:rPr>
        <w:t xml:space="preserve">I dette tilfellet </w:t>
      </w:r>
      <w:r>
        <w:rPr>
          <w:rFonts w:eastAsiaTheme="majorEastAsia"/>
        </w:rPr>
        <w:t xml:space="preserve">forutsetter vi at </w:t>
      </w:r>
      <w:r w:rsidRPr="00457669">
        <w:rPr>
          <w:rFonts w:eastAsiaTheme="majorEastAsia"/>
        </w:rPr>
        <w:t>studenten dekker (minimum) 100 % av KDs stykkprisfinansiering (</w:t>
      </w:r>
      <w:r>
        <w:rPr>
          <w:rFonts w:eastAsiaTheme="majorEastAsia"/>
        </w:rPr>
        <w:t>minst 182</w:t>
      </w:r>
      <w:r w:rsidRPr="00457669">
        <w:rPr>
          <w:rFonts w:eastAsiaTheme="majorEastAsia"/>
        </w:rPr>
        <w:t xml:space="preserve"> 000 kroner per årsenhet, dvs. </w:t>
      </w:r>
      <w:r>
        <w:rPr>
          <w:rFonts w:eastAsiaTheme="majorEastAsia"/>
        </w:rPr>
        <w:t>22 750</w:t>
      </w:r>
      <w:r w:rsidRPr="00457669">
        <w:rPr>
          <w:rFonts w:eastAsiaTheme="majorEastAsia"/>
        </w:rPr>
        <w:t xml:space="preserve"> kr per emne av 7,5 studiepoeng) og institusjonen får ingen resultatbevilgning fra KD. Totale inntekter for institusjonen per årsenhet blir da:</w:t>
      </w:r>
    </w:p>
    <w:p w14:paraId="473587F3" w14:textId="77777777" w:rsidR="00077A27" w:rsidRPr="009355B9" w:rsidRDefault="00077A27" w:rsidP="00077A27">
      <w:pPr>
        <w:pStyle w:val="Listeavsnitt"/>
        <w:rPr>
          <w:rFonts w:eastAsiaTheme="majorEastAsia"/>
          <w:color w:val="00B0F0"/>
        </w:rPr>
      </w:pPr>
    </w:p>
    <w:p w14:paraId="6BAD5050" w14:textId="77777777" w:rsidR="00077A27" w:rsidRPr="00457669" w:rsidRDefault="28257F58" w:rsidP="1268772F">
      <w:pPr>
        <w:ind w:left="1416"/>
        <w:rPr>
          <w:rFonts w:asciiTheme="majorEastAsia" w:eastAsiaTheme="majorEastAsia" w:hAnsiTheme="majorEastAsia" w:cstheme="majorEastAsia"/>
        </w:rPr>
      </w:pPr>
      <w:r>
        <w:rPr>
          <w:rFonts w:asciiTheme="majorEastAsia" w:eastAsiaTheme="majorEastAsia" w:hAnsiTheme="majorEastAsia" w:cstheme="majorEastAsia"/>
        </w:rPr>
        <w:t xml:space="preserve">   182 000 kr (studentbetaling)</w:t>
      </w:r>
    </w:p>
    <w:p w14:paraId="72EF0180" w14:textId="77777777" w:rsidR="00077A27" w:rsidRPr="00457669" w:rsidRDefault="00077A27" w:rsidP="00077A27">
      <w:pPr>
        <w:ind w:left="708" w:firstLine="708"/>
        <w:rPr>
          <w:rFonts w:eastAsiaTheme="majorEastAsia"/>
          <w:u w:val="single"/>
        </w:rPr>
      </w:pPr>
      <w:r w:rsidRPr="00457669">
        <w:rPr>
          <w:rFonts w:eastAsiaTheme="majorEastAsia"/>
          <w:u w:val="single"/>
        </w:rPr>
        <w:t>+          0 kr (resultatbevilgning)</w:t>
      </w:r>
    </w:p>
    <w:p w14:paraId="56196FD4" w14:textId="77777777" w:rsidR="00077A27" w:rsidRPr="00457669" w:rsidRDefault="00077A27" w:rsidP="00077A27">
      <w:pPr>
        <w:ind w:left="1416"/>
        <w:rPr>
          <w:rFonts w:eastAsiaTheme="majorEastAsia"/>
          <w:u w:val="single"/>
        </w:rPr>
      </w:pPr>
      <w:r w:rsidRPr="00457669">
        <w:rPr>
          <w:rFonts w:eastAsiaTheme="majorEastAsia"/>
          <w:u w:val="single"/>
        </w:rPr>
        <w:t xml:space="preserve">= 182 000 kr </w:t>
      </w:r>
    </w:p>
    <w:p w14:paraId="28E3FA40" w14:textId="77777777" w:rsidR="00077A27" w:rsidRPr="00970F23" w:rsidRDefault="00077A27" w:rsidP="00077A27">
      <w:pPr>
        <w:ind w:left="708" w:firstLine="2"/>
        <w:rPr>
          <w:rFonts w:eastAsiaTheme="majorEastAsia"/>
        </w:rPr>
      </w:pPr>
      <w:r w:rsidRPr="00EF66A0">
        <w:rPr>
          <w:rFonts w:eastAsiaTheme="majorEastAsia"/>
        </w:rPr>
        <w:t xml:space="preserve">Med </w:t>
      </w:r>
      <w:r>
        <w:rPr>
          <w:rFonts w:eastAsiaTheme="majorEastAsia"/>
        </w:rPr>
        <w:t>0</w:t>
      </w:r>
      <w:r w:rsidRPr="00EF66A0">
        <w:rPr>
          <w:rFonts w:eastAsiaTheme="majorEastAsia"/>
        </w:rPr>
        <w:t xml:space="preserve"> </w:t>
      </w:r>
      <w:r>
        <w:rPr>
          <w:rFonts w:eastAsiaTheme="majorEastAsia"/>
        </w:rPr>
        <w:t>%</w:t>
      </w:r>
      <w:r w:rsidRPr="00EF66A0">
        <w:rPr>
          <w:rFonts w:eastAsiaTheme="majorEastAsia"/>
        </w:rPr>
        <w:t xml:space="preserve"> egenfinansiering dekkes </w:t>
      </w:r>
      <w:r>
        <w:rPr>
          <w:rFonts w:eastAsiaTheme="majorEastAsia"/>
        </w:rPr>
        <w:t xml:space="preserve">100 % av kostnaden på 182 000 kr. </w:t>
      </w:r>
    </w:p>
    <w:p w14:paraId="4D0421BF" w14:textId="77777777" w:rsidR="00077A27" w:rsidRDefault="00077A27" w:rsidP="00077A27">
      <w:pPr>
        <w:rPr>
          <w:rFonts w:eastAsiaTheme="majorEastAsia"/>
        </w:rPr>
      </w:pPr>
      <w:r>
        <w:rPr>
          <w:rFonts w:eastAsiaTheme="majorEastAsia"/>
        </w:rPr>
        <w:t xml:space="preserve">Figur 1 viser hvordan kostnadsdekningen for institusjonen (i % av KD stykkpris) avtar med økende egenfinansieringsprosent (synkende studentbetaling). </w:t>
      </w:r>
      <w:r w:rsidRPr="00A57776">
        <w:rPr>
          <w:rFonts w:eastAsiaTheme="majorEastAsia"/>
          <w:i/>
        </w:rPr>
        <w:t>Det grønne feltet viser handlingsrommet innenfor statsstøtteregelverket (dvs. med egenfinansiering over 51 %).</w:t>
      </w:r>
      <w:r>
        <w:rPr>
          <w:rFonts w:eastAsiaTheme="majorEastAsia"/>
        </w:rPr>
        <w:t xml:space="preserve"> </w:t>
      </w:r>
    </w:p>
    <w:p w14:paraId="328F7494" w14:textId="77777777" w:rsidR="00077A27" w:rsidRDefault="00077A27" w:rsidP="00077A27">
      <w:pPr>
        <w:rPr>
          <w:rFonts w:eastAsiaTheme="majorEastAsia"/>
        </w:rPr>
      </w:pPr>
      <w:r>
        <w:rPr>
          <w:noProof/>
        </w:rPr>
        <mc:AlternateContent>
          <mc:Choice Requires="wps">
            <w:drawing>
              <wp:anchor distT="0" distB="0" distL="114300" distR="114300" simplePos="0" relativeHeight="251653120" behindDoc="0" locked="0" layoutInCell="1" allowOverlap="1" wp14:anchorId="5C07DE58" wp14:editId="0BD21C19">
                <wp:simplePos x="0" y="0"/>
                <wp:positionH relativeFrom="column">
                  <wp:posOffset>1898438</wp:posOffset>
                </wp:positionH>
                <wp:positionV relativeFrom="paragraph">
                  <wp:posOffset>146473</wp:posOffset>
                </wp:positionV>
                <wp:extent cx="1219200" cy="1316567"/>
                <wp:effectExtent l="0" t="0" r="0" b="0"/>
                <wp:wrapNone/>
                <wp:docPr id="9" name="Rektangel 9"/>
                <wp:cNvGraphicFramePr/>
                <a:graphic xmlns:a="http://schemas.openxmlformats.org/drawingml/2006/main">
                  <a:graphicData uri="http://schemas.microsoft.com/office/word/2010/wordprocessingShape">
                    <wps:wsp>
                      <wps:cNvSpPr/>
                      <wps:spPr>
                        <a:xfrm>
                          <a:off x="0" y="0"/>
                          <a:ext cx="1219200" cy="1316567"/>
                        </a:xfrm>
                        <a:prstGeom prst="rect">
                          <a:avLst/>
                        </a:prstGeom>
                        <a:solidFill>
                          <a:srgbClr val="00B050">
                            <a:alpha val="21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731EC" id="Rektangel 9" o:spid="_x0000_s1026" style="position:absolute;margin-left:149.5pt;margin-top:11.55pt;width:96pt;height:10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" fillcolor="#00b050" stroked="f" strokeweight="1pt">
                <v:fill opacity="13878f"/>
              </v:rect>
            </w:pict>
          </mc:Fallback>
        </mc:AlternateContent>
      </w:r>
      <w:r>
        <w:rPr>
          <w:noProof/>
        </w:rPr>
        <w:drawing>
          <wp:inline distT="0" distB="0" distL="0" distR="0" wp14:anchorId="06B0CB5B" wp14:editId="4759A7C7">
            <wp:extent cx="3348355" cy="2027766"/>
            <wp:effectExtent l="0" t="0" r="4445" b="10795"/>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782396" w14:textId="77777777" w:rsidR="00077A27" w:rsidRPr="002503B0" w:rsidRDefault="00077A27" w:rsidP="00077A27">
      <w:pPr>
        <w:rPr>
          <w:rFonts w:ascii="Arial" w:eastAsiaTheme="majorEastAsia" w:hAnsi="Arial" w:cs="Arial"/>
          <w:sz w:val="20"/>
        </w:rPr>
      </w:pPr>
      <w:r>
        <w:rPr>
          <w:rFonts w:ascii="Arial" w:eastAsiaTheme="majorEastAsia" w:hAnsi="Arial" w:cs="Arial"/>
          <w:sz w:val="20"/>
        </w:rPr>
        <w:t>Figur 1</w:t>
      </w:r>
      <w:r w:rsidRPr="002503B0">
        <w:rPr>
          <w:rFonts w:ascii="Arial" w:eastAsiaTheme="majorEastAsia" w:hAnsi="Arial" w:cs="Arial"/>
          <w:sz w:val="20"/>
        </w:rPr>
        <w:t>:</w:t>
      </w:r>
      <w:r w:rsidRPr="002503B0">
        <w:rPr>
          <w:rFonts w:ascii="Arial" w:hAnsi="Arial" w:cs="Arial"/>
          <w:sz w:val="20"/>
        </w:rPr>
        <w:t xml:space="preserve"> </w:t>
      </w:r>
      <w:r w:rsidRPr="002503B0">
        <w:rPr>
          <w:rFonts w:ascii="Arial" w:eastAsiaTheme="majorEastAsia" w:hAnsi="Arial" w:cs="Arial"/>
          <w:sz w:val="20"/>
        </w:rPr>
        <w:t xml:space="preserve">kostnadsdekningen i % av KD stykkpris som funksjon av egenfinansieringsprosent </w:t>
      </w:r>
    </w:p>
    <w:p w14:paraId="3C3E3083" w14:textId="280FB206" w:rsidR="00805D6A" w:rsidRDefault="00077A27" w:rsidP="00805D6A">
      <w:r w:rsidRPr="1268772F">
        <w:rPr>
          <w:rFonts w:asciiTheme="majorEastAsia" w:eastAsiaTheme="majorEastAsia" w:hAnsiTheme="majorEastAsia" w:cstheme="majorEastAsia"/>
        </w:rPr>
        <w:t>Inntektene som er mulig å få fra studentbetaling avhenger av studentenes/markedets betalingsvilje- og evne. Lånekassen har et maksimalbeløp for lån til skolepenger på 64 206 i 2018. Lånekassen gir lån i inntil 8 år for høyere utdanning og ett år med deltidsstudier teller som ett år</w:t>
      </w:r>
      <w:r w:rsidRPr="1268772F">
        <w:rPr>
          <w:rStyle w:val="Fotnotereferanse"/>
          <w:rFonts w:asciiTheme="majorEastAsia" w:eastAsiaTheme="majorEastAsia" w:hAnsiTheme="majorEastAsia" w:cstheme="majorEastAsia"/>
        </w:rPr>
        <w:footnoteReference w:id="28"/>
      </w:r>
      <w:r w:rsidRPr="1268772F">
        <w:rPr>
          <w:rFonts w:asciiTheme="majorEastAsia" w:eastAsiaTheme="majorEastAsia" w:hAnsiTheme="majorEastAsia" w:cstheme="majorEastAsia"/>
        </w:rPr>
        <w:t xml:space="preserve">. </w:t>
      </w:r>
      <w:r w:rsidRPr="7625745A">
        <w:rPr>
          <w:rFonts w:asciiTheme="majorBidi" w:eastAsiaTheme="majorBidi" w:hAnsiTheme="majorBidi" w:cstheme="majorBidi"/>
          <w:b/>
          <w:bCs/>
          <w:sz w:val="32"/>
          <w:szCs w:val="32"/>
        </w:rPr>
        <w:br w:type="page"/>
      </w:r>
    </w:p>
    <w:p w14:paraId="5204400B" w14:textId="0D2A3A2A" w:rsidR="00E754EA" w:rsidRDefault="28257F58" w:rsidP="00E754EA">
      <w:pPr>
        <w:pStyle w:val="Overskrift2"/>
      </w:pPr>
      <w:bookmarkStart w:id="32" w:name="_Toc514925229"/>
      <w:bookmarkStart w:id="33" w:name="_Toc516731441"/>
      <w:r>
        <w:lastRenderedPageBreak/>
        <w:t>Ordliste</w:t>
      </w:r>
      <w:bookmarkEnd w:id="32"/>
      <w:bookmarkEnd w:id="33"/>
    </w:p>
    <w:p w14:paraId="280618E7" w14:textId="77777777" w:rsidR="00670A21" w:rsidRPr="00670A21" w:rsidRDefault="00670A21" w:rsidP="00670A21"/>
    <w:tbl>
      <w:tblPr>
        <w:tblStyle w:val="Tabellrutenett"/>
        <w:tblW w:w="9634" w:type="dxa"/>
        <w:tblLayout w:type="fixed"/>
        <w:tblLook w:val="04A0" w:firstRow="1" w:lastRow="0" w:firstColumn="1" w:lastColumn="0" w:noHBand="0" w:noVBand="1"/>
      </w:tblPr>
      <w:tblGrid>
        <w:gridCol w:w="3256"/>
        <w:gridCol w:w="6378"/>
      </w:tblGrid>
      <w:tr w:rsidR="00E754EA" w14:paraId="26C13897" w14:textId="77777777" w:rsidTr="1268772F">
        <w:tc>
          <w:tcPr>
            <w:tcW w:w="3256" w:type="dxa"/>
          </w:tcPr>
          <w:p w14:paraId="0819CADA" w14:textId="77777777" w:rsidR="00E754EA" w:rsidRDefault="00E754EA" w:rsidP="00F46C61">
            <w:pPr>
              <w:spacing w:after="160" w:afterAutospacing="0" w:line="259" w:lineRule="auto"/>
            </w:pPr>
            <w:r>
              <w:t>Bidrag</w:t>
            </w:r>
          </w:p>
        </w:tc>
        <w:tc>
          <w:tcPr>
            <w:tcW w:w="6378" w:type="dxa"/>
          </w:tcPr>
          <w:p w14:paraId="6087D367" w14:textId="62138A09" w:rsidR="00E754EA" w:rsidRDefault="00E754EA" w:rsidP="1268772F">
            <w:pPr>
              <w:spacing w:after="160" w:afterAutospacing="0" w:line="259" w:lineRule="auto"/>
            </w:pPr>
            <w:r>
              <w:t>EVU hvor ekstern bidragsyter ikke krever kontroll på hvem som tas opp eller på innhold.</w:t>
            </w:r>
            <w:r w:rsidR="00555246">
              <w:t xml:space="preserve"> </w:t>
            </w:r>
            <w:r>
              <w:t>Institusjonen kan delfinansiere EVU-aktiviteten med egne midler.</w:t>
            </w:r>
          </w:p>
        </w:tc>
      </w:tr>
      <w:tr w:rsidR="000F621E" w14:paraId="1F472736" w14:textId="77777777" w:rsidTr="1268772F">
        <w:tc>
          <w:tcPr>
            <w:tcW w:w="3256" w:type="dxa"/>
          </w:tcPr>
          <w:p w14:paraId="0020F451" w14:textId="60E98239" w:rsidR="000F621E" w:rsidRDefault="000F621E" w:rsidP="00F46C61">
            <w:pPr>
              <w:spacing w:after="160" w:afterAutospacing="0" w:line="259" w:lineRule="auto"/>
            </w:pPr>
            <w:r>
              <w:t>Egenfinansiering = internfinansiering</w:t>
            </w:r>
          </w:p>
        </w:tc>
        <w:tc>
          <w:tcPr>
            <w:tcW w:w="6378" w:type="dxa"/>
          </w:tcPr>
          <w:p w14:paraId="0B498A31" w14:textId="11E88AF0" w:rsidR="000F621E" w:rsidRDefault="000F621E" w:rsidP="00F46C61">
            <w:r>
              <w:t>Finansiert av institusjonen</w:t>
            </w:r>
            <w:r w:rsidR="006B2E0B">
              <w:t>s bevilgning</w:t>
            </w:r>
            <w:r>
              <w:t>.</w:t>
            </w:r>
          </w:p>
        </w:tc>
      </w:tr>
      <w:tr w:rsidR="00D064CB" w14:paraId="72E96647" w14:textId="77777777" w:rsidTr="1268772F">
        <w:tc>
          <w:tcPr>
            <w:tcW w:w="3256" w:type="dxa"/>
          </w:tcPr>
          <w:p w14:paraId="63D6A227" w14:textId="683E0DE3" w:rsidR="00D064CB" w:rsidRDefault="00D064CB" w:rsidP="00F46C61">
            <w:pPr>
              <w:spacing w:after="160" w:afterAutospacing="0" w:line="259" w:lineRule="auto"/>
            </w:pPr>
            <w:r>
              <w:t>Egenbetaling</w:t>
            </w:r>
          </w:p>
        </w:tc>
        <w:tc>
          <w:tcPr>
            <w:tcW w:w="6378" w:type="dxa"/>
          </w:tcPr>
          <w:p w14:paraId="3C17AA34" w14:textId="1EAF5951" w:rsidR="00D064CB" w:rsidRDefault="008E5FB8" w:rsidP="008E5FB8">
            <w:r>
              <w:t>Studentens betaling for studietilbud</w:t>
            </w:r>
            <w:r w:rsidR="00EB4969">
              <w:t xml:space="preserve"> (kan være grupper av studenter)</w:t>
            </w:r>
            <w:r w:rsidR="006B2E0B">
              <w:t>.</w:t>
            </w:r>
          </w:p>
        </w:tc>
      </w:tr>
      <w:tr w:rsidR="00E754EA" w14:paraId="414CFAD9" w14:textId="77777777" w:rsidTr="1268772F">
        <w:tc>
          <w:tcPr>
            <w:tcW w:w="3256" w:type="dxa"/>
          </w:tcPr>
          <w:p w14:paraId="5DA4B1A6" w14:textId="77777777" w:rsidR="00E754EA" w:rsidRDefault="00E754EA" w:rsidP="00F46C61">
            <w:pPr>
              <w:spacing w:after="160" w:afterAutospacing="0" w:line="259" w:lineRule="auto"/>
            </w:pPr>
            <w:r>
              <w:t>Eksternt finansiert virksomhet</w:t>
            </w:r>
          </w:p>
        </w:tc>
        <w:tc>
          <w:tcPr>
            <w:tcW w:w="6378" w:type="dxa"/>
          </w:tcPr>
          <w:p w14:paraId="1240215F" w14:textId="77777777" w:rsidR="00E754EA" w:rsidRDefault="00E754EA" w:rsidP="00F46C61">
            <w:r>
              <w:t>Finansiert av eksterne kilder (utenfor institusjonen).</w:t>
            </w:r>
          </w:p>
        </w:tc>
      </w:tr>
      <w:tr w:rsidR="00E754EA" w14:paraId="03D73784" w14:textId="77777777" w:rsidTr="1268772F">
        <w:tc>
          <w:tcPr>
            <w:tcW w:w="3256" w:type="dxa"/>
          </w:tcPr>
          <w:p w14:paraId="41403FA8" w14:textId="77777777" w:rsidR="00E754EA" w:rsidRDefault="00E754EA" w:rsidP="00F46C61">
            <w:pPr>
              <w:spacing w:after="160" w:afterAutospacing="0" w:line="259" w:lineRule="auto"/>
            </w:pPr>
            <w:r>
              <w:t>Etterutdanning</w:t>
            </w:r>
          </w:p>
        </w:tc>
        <w:tc>
          <w:tcPr>
            <w:tcW w:w="6378" w:type="dxa"/>
          </w:tcPr>
          <w:p w14:paraId="48807A0E" w14:textId="40E09189" w:rsidR="00E754EA" w:rsidRDefault="00805D6A" w:rsidP="00805D6A">
            <w:pPr>
              <w:spacing w:after="160" w:afterAutospacing="0" w:line="259" w:lineRule="auto"/>
            </w:pPr>
            <w:r>
              <w:t>K</w:t>
            </w:r>
            <w:r w:rsidRPr="00805D6A">
              <w:t>urs som gir vedlikehold og oppdatering på kompetanse innenfor et område eller stilling uten å gi formell kompetanse. Etterutdanning er kortere kurs som ikke avsluttes med eksamen eller gir studiepoeng, og som ikke inngår i et gradssystem.</w:t>
            </w:r>
          </w:p>
        </w:tc>
      </w:tr>
      <w:tr w:rsidR="00E754EA" w14:paraId="3435A816" w14:textId="77777777" w:rsidTr="1268772F">
        <w:tc>
          <w:tcPr>
            <w:tcW w:w="3256" w:type="dxa"/>
          </w:tcPr>
          <w:p w14:paraId="727980EB" w14:textId="77777777" w:rsidR="00E754EA" w:rsidRDefault="00E754EA" w:rsidP="00F46C61">
            <w:pPr>
              <w:spacing w:after="160" w:afterAutospacing="0" w:line="259" w:lineRule="auto"/>
            </w:pPr>
            <w:r>
              <w:t>EVU</w:t>
            </w:r>
          </w:p>
        </w:tc>
        <w:tc>
          <w:tcPr>
            <w:tcW w:w="6378" w:type="dxa"/>
          </w:tcPr>
          <w:p w14:paraId="3A539987" w14:textId="77777777" w:rsidR="00E754EA" w:rsidRDefault="00E754EA" w:rsidP="00F46C61">
            <w:r>
              <w:t>Forkortelse og samlebetegnelse for etter- og videreutdanning.</w:t>
            </w:r>
          </w:p>
        </w:tc>
      </w:tr>
      <w:tr w:rsidR="00E754EA" w14:paraId="16109827" w14:textId="77777777" w:rsidTr="1268772F">
        <w:tc>
          <w:tcPr>
            <w:tcW w:w="3256" w:type="dxa"/>
          </w:tcPr>
          <w:p w14:paraId="097E17E2" w14:textId="77777777" w:rsidR="00E754EA" w:rsidRDefault="00E754EA" w:rsidP="00F46C61">
            <w:pPr>
              <w:spacing w:after="160" w:afterAutospacing="0" w:line="259" w:lineRule="auto"/>
            </w:pPr>
            <w:r>
              <w:t>F</w:t>
            </w:r>
            <w:r w:rsidRPr="00D70352">
              <w:t>ag/emne</w:t>
            </w:r>
          </w:p>
        </w:tc>
        <w:tc>
          <w:tcPr>
            <w:tcW w:w="6378" w:type="dxa"/>
          </w:tcPr>
          <w:p w14:paraId="4566DBF1" w14:textId="0E52EA26" w:rsidR="00E754EA" w:rsidRDefault="00E754EA" w:rsidP="00831884">
            <w:pPr>
              <w:spacing w:after="160" w:afterAutospacing="0" w:line="259" w:lineRule="auto"/>
            </w:pPr>
            <w:r>
              <w:t>Fag/emner er de minste studiepoenggivende enheter med faglig innhold fastsatt av institusjonen.</w:t>
            </w:r>
          </w:p>
        </w:tc>
      </w:tr>
      <w:tr w:rsidR="00E754EA" w14:paraId="2F903B9C" w14:textId="77777777" w:rsidTr="1268772F">
        <w:tc>
          <w:tcPr>
            <w:tcW w:w="3256" w:type="dxa"/>
          </w:tcPr>
          <w:p w14:paraId="15A9BD5A" w14:textId="77777777" w:rsidR="00E754EA" w:rsidRDefault="00E754EA" w:rsidP="00F46C61">
            <w:pPr>
              <w:spacing w:after="160" w:afterAutospacing="0" w:line="259" w:lineRule="auto"/>
            </w:pPr>
            <w:r>
              <w:t>Gratisprinsippet</w:t>
            </w:r>
          </w:p>
        </w:tc>
        <w:tc>
          <w:tcPr>
            <w:tcW w:w="6378" w:type="dxa"/>
          </w:tcPr>
          <w:p w14:paraId="2BD1ED7A" w14:textId="77777777" w:rsidR="00E754EA" w:rsidRDefault="00E754EA" w:rsidP="00F46C61">
            <w:pPr>
              <w:spacing w:after="160" w:afterAutospacing="0" w:line="259" w:lineRule="auto"/>
            </w:pPr>
            <w:r>
              <w:rPr>
                <w:rFonts w:eastAsiaTheme="majorEastAsia"/>
                <w:color w:val="000000" w:themeColor="text1"/>
              </w:rPr>
              <w:t xml:space="preserve">Lik rett til utdanning, se </w:t>
            </w:r>
            <w:r w:rsidRPr="00082C87">
              <w:rPr>
                <w:rFonts w:eastAsiaTheme="majorEastAsia"/>
                <w:color w:val="000000" w:themeColor="text1"/>
              </w:rPr>
              <w:t>universitets- og høyskoleloven § 7-1</w:t>
            </w:r>
            <w:r>
              <w:rPr>
                <w:rFonts w:eastAsiaTheme="majorEastAsia"/>
                <w:color w:val="000000" w:themeColor="text1"/>
              </w:rPr>
              <w:t>.</w:t>
            </w:r>
          </w:p>
        </w:tc>
      </w:tr>
      <w:tr w:rsidR="00AD5961" w14:paraId="191EB2A6" w14:textId="77777777" w:rsidTr="1268772F">
        <w:tc>
          <w:tcPr>
            <w:tcW w:w="3256" w:type="dxa"/>
          </w:tcPr>
          <w:p w14:paraId="626C55CC" w14:textId="6C1B4001" w:rsidR="00AD5961" w:rsidRPr="00B62A99" w:rsidRDefault="00AD5961" w:rsidP="00F46C61">
            <w:pPr>
              <w:spacing w:after="160" w:afterAutospacing="0" w:line="259" w:lineRule="auto"/>
            </w:pPr>
            <w:r w:rsidRPr="00B62A99">
              <w:t>Ikke-økonomisk aktivitet</w:t>
            </w:r>
          </w:p>
        </w:tc>
        <w:tc>
          <w:tcPr>
            <w:tcW w:w="6378" w:type="dxa"/>
          </w:tcPr>
          <w:p w14:paraId="71245005" w14:textId="3CFB4F83" w:rsidR="00AD5961" w:rsidRDefault="00B62A99" w:rsidP="006803AD">
            <w:pPr>
              <w:spacing w:after="160" w:afterAutospacing="0" w:line="259" w:lineRule="auto"/>
            </w:pPr>
            <w:r w:rsidRPr="00B11A8A">
              <w:rPr>
                <w:lang w:val="en-US"/>
              </w:rPr>
              <w:t xml:space="preserve">The Authority considers that the following activities are generally of a non-economic character: </w:t>
            </w:r>
            <w:r>
              <w:rPr>
                <w:lang w:val="en-US"/>
              </w:rPr>
              <w:t>“</w:t>
            </w:r>
            <w:r w:rsidRPr="5663A662">
              <w:rPr>
                <w:i/>
                <w:iCs/>
                <w:lang w:val="en-US"/>
              </w:rPr>
              <w:t xml:space="preserve">public education </w:t>
            </w:r>
            <w:proofErr w:type="spellStart"/>
            <w:r w:rsidRPr="5663A662">
              <w:rPr>
                <w:i/>
                <w:iCs/>
                <w:lang w:val="en-US"/>
              </w:rPr>
              <w:t>organised</w:t>
            </w:r>
            <w:proofErr w:type="spellEnd"/>
            <w:r w:rsidRPr="5663A662">
              <w:rPr>
                <w:i/>
                <w:iCs/>
                <w:lang w:val="en-US"/>
              </w:rPr>
              <w:t xml:space="preserve"> within the national educational system, predominantly or entirely funded by the State and supervised by the State is considered as a non-economic activity</w:t>
            </w:r>
            <w:r w:rsidRPr="00B11A8A">
              <w:rPr>
                <w:rStyle w:val="Fotnotereferanse"/>
              </w:rPr>
              <w:footnoteReference w:id="29"/>
            </w:r>
            <w:r w:rsidRPr="5663A662">
              <w:rPr>
                <w:i/>
                <w:iCs/>
                <w:lang w:val="en-US"/>
              </w:rPr>
              <w:t xml:space="preserve">.” </w:t>
            </w:r>
            <w:r w:rsidR="006803AD" w:rsidRPr="006803AD">
              <w:rPr>
                <w:color w:val="000000" w:themeColor="text1"/>
              </w:rPr>
              <w:t>(Utdanningstilbud som er en del av det offentlig overvåkede/kontrollerte og finansierte utdanningssystemet.)</w:t>
            </w:r>
          </w:p>
        </w:tc>
      </w:tr>
      <w:tr w:rsidR="00E754EA" w14:paraId="2AE4BC4F" w14:textId="77777777" w:rsidTr="1268772F">
        <w:tc>
          <w:tcPr>
            <w:tcW w:w="3256" w:type="dxa"/>
          </w:tcPr>
          <w:p w14:paraId="76472662" w14:textId="77777777" w:rsidR="00E754EA" w:rsidRDefault="00E754EA" w:rsidP="00F46C61">
            <w:pPr>
              <w:spacing w:after="160" w:afterAutospacing="0" w:line="259" w:lineRule="auto"/>
            </w:pPr>
            <w:r>
              <w:t>Kurs</w:t>
            </w:r>
          </w:p>
        </w:tc>
        <w:tc>
          <w:tcPr>
            <w:tcW w:w="6378" w:type="dxa"/>
          </w:tcPr>
          <w:p w14:paraId="4BC3A02D" w14:textId="463AC066" w:rsidR="00E754EA" w:rsidRDefault="00E754EA" w:rsidP="00F46C61">
            <w:pPr>
              <w:spacing w:after="160" w:afterAutospacing="0" w:line="259" w:lineRule="auto"/>
            </w:pPr>
            <w:r>
              <w:t>Utda</w:t>
            </w:r>
            <w:r w:rsidR="00CB0C5C">
              <w:t>nning som ikke gir studiepoeng.</w:t>
            </w:r>
          </w:p>
        </w:tc>
      </w:tr>
      <w:tr w:rsidR="00E754EA" w14:paraId="5F349064" w14:textId="77777777" w:rsidTr="1268772F">
        <w:tc>
          <w:tcPr>
            <w:tcW w:w="3256" w:type="dxa"/>
          </w:tcPr>
          <w:p w14:paraId="35B84342" w14:textId="5DF60CFC" w:rsidR="00E754EA" w:rsidRDefault="00E754EA" w:rsidP="00F46C61">
            <w:pPr>
              <w:spacing w:after="160" w:afterAutospacing="0" w:line="259" w:lineRule="auto"/>
            </w:pPr>
            <w:r>
              <w:t xml:space="preserve">Oppdrag </w:t>
            </w:r>
          </w:p>
        </w:tc>
        <w:tc>
          <w:tcPr>
            <w:tcW w:w="6378" w:type="dxa"/>
          </w:tcPr>
          <w:p w14:paraId="78F8F92A" w14:textId="23860E35" w:rsidR="00E754EA" w:rsidRDefault="00E754EA" w:rsidP="00F46C61">
            <w:pPr>
              <w:spacing w:after="160" w:afterAutospacing="0" w:line="259" w:lineRule="auto"/>
            </w:pPr>
            <w:r>
              <w:t>EVU hvor oppdragsgiver bestemmer hvem som skal delta. Oppdragsgiver skal dekke alle kostnader, både direkte og indirekte kostnader. I tillegg skal det beregnes en rimelig fortjeneste på oppdraget.</w:t>
            </w:r>
          </w:p>
          <w:p w14:paraId="027BB753" w14:textId="77777777" w:rsidR="00E754EA" w:rsidRDefault="00E754EA" w:rsidP="00F46C61">
            <w:pPr>
              <w:spacing w:after="160" w:afterAutospacing="0" w:line="259" w:lineRule="auto"/>
            </w:pPr>
            <w:r>
              <w:t>I egenbetalingsforskriften defineres oppdrag som omsetning av forsknings-, undervisnings- og andre tjenester mot vederlag, og som ikke er rettet mot enkeltstudenter.</w:t>
            </w:r>
          </w:p>
        </w:tc>
      </w:tr>
      <w:tr w:rsidR="00E754EA" w14:paraId="6D2A65DC" w14:textId="77777777" w:rsidTr="1268772F">
        <w:tc>
          <w:tcPr>
            <w:tcW w:w="3256" w:type="dxa"/>
          </w:tcPr>
          <w:p w14:paraId="7E9430BB" w14:textId="77777777" w:rsidR="00E754EA" w:rsidRDefault="00E754EA" w:rsidP="00F46C61">
            <w:pPr>
              <w:spacing w:after="160" w:afterAutospacing="0" w:line="259" w:lineRule="auto"/>
            </w:pPr>
            <w:r>
              <w:lastRenderedPageBreak/>
              <w:t>Salg</w:t>
            </w:r>
          </w:p>
        </w:tc>
        <w:tc>
          <w:tcPr>
            <w:tcW w:w="6378" w:type="dxa"/>
          </w:tcPr>
          <w:p w14:paraId="1F4D3930" w14:textId="28402A74" w:rsidR="00CB0C5C" w:rsidRDefault="00CB0C5C" w:rsidP="00CB0C5C">
            <w:r>
              <w:t>EVU</w:t>
            </w:r>
            <w:r>
              <w:rPr>
                <w:strike/>
              </w:rPr>
              <w:t xml:space="preserve"> </w:t>
            </w:r>
            <w:r>
              <w:t xml:space="preserve">hvor det er fri påmelding og enkeltstudenter betaler deltakeravgift. For salg som er økonomisk aktivitet, skal studenten(e) dekke alle direkte og indirekte kostnader som aktiviteten </w:t>
            </w:r>
            <w:r w:rsidRPr="001E1AD8">
              <w:t>fører med seg, og det skal beregnes en rimelig fortjeneste.</w:t>
            </w:r>
          </w:p>
          <w:p w14:paraId="161E7610" w14:textId="6A7CE802" w:rsidR="00E754EA" w:rsidRDefault="00CB0C5C" w:rsidP="00CB0C5C">
            <w:r>
              <w:t>For salg som er ikke-økonomisk aktivitet skal det ikke beregnes margin for fortjeneste.</w:t>
            </w:r>
          </w:p>
        </w:tc>
      </w:tr>
      <w:tr w:rsidR="00E754EA" w14:paraId="6EAFC752" w14:textId="77777777" w:rsidTr="1268772F">
        <w:tc>
          <w:tcPr>
            <w:tcW w:w="3256" w:type="dxa"/>
          </w:tcPr>
          <w:p w14:paraId="0E929F50" w14:textId="77777777" w:rsidR="00E754EA" w:rsidRDefault="00E754EA" w:rsidP="00F46C61">
            <w:pPr>
              <w:spacing w:after="160" w:afterAutospacing="0" w:line="259" w:lineRule="auto"/>
            </w:pPr>
            <w:r>
              <w:t>S</w:t>
            </w:r>
            <w:r w:rsidRPr="001F02F8">
              <w:t>tudieprogram</w:t>
            </w:r>
          </w:p>
        </w:tc>
        <w:tc>
          <w:tcPr>
            <w:tcW w:w="6378" w:type="dxa"/>
          </w:tcPr>
          <w:p w14:paraId="29F6733D" w14:textId="77777777" w:rsidR="00E754EA" w:rsidRDefault="00E754EA" w:rsidP="00F46C61">
            <w:pPr>
              <w:spacing w:after="160" w:afterAutospacing="0" w:line="259" w:lineRule="auto"/>
            </w:pPr>
            <w:r>
              <w:t>S</w:t>
            </w:r>
            <w:r w:rsidRPr="001F02F8">
              <w:t>tudieprogram er en gitt samling fag/emner som er fastsatt i studieplan, som studenter tas opp til, og som fører fram til grads- eller yrkesutdanning.</w:t>
            </w:r>
          </w:p>
        </w:tc>
      </w:tr>
      <w:tr w:rsidR="00E754EA" w14:paraId="11D7A208" w14:textId="77777777" w:rsidTr="1268772F">
        <w:tc>
          <w:tcPr>
            <w:tcW w:w="3256" w:type="dxa"/>
          </w:tcPr>
          <w:p w14:paraId="687E7EA9" w14:textId="77777777" w:rsidR="00E754EA" w:rsidRDefault="00E754EA" w:rsidP="00F46C61">
            <w:pPr>
              <w:spacing w:after="160" w:afterAutospacing="0" w:line="259" w:lineRule="auto"/>
            </w:pPr>
            <w:r>
              <w:t>Videreutdanning</w:t>
            </w:r>
          </w:p>
        </w:tc>
        <w:tc>
          <w:tcPr>
            <w:tcW w:w="6378" w:type="dxa"/>
          </w:tcPr>
          <w:p w14:paraId="57CE0C8F" w14:textId="77777777" w:rsidR="00E754EA" w:rsidRDefault="00E754EA" w:rsidP="00F46C61">
            <w:pPr>
              <w:spacing w:after="160" w:afterAutospacing="0" w:line="259" w:lineRule="auto"/>
            </w:pPr>
            <w:r>
              <w:t xml:space="preserve">Emner som </w:t>
            </w:r>
            <w:r w:rsidRPr="005327BC">
              <w:rPr>
                <w:i/>
              </w:rPr>
              <w:t>gir ny formell kompetanse på universitets- eller høyskolenivå og studiepoeng innen eller utenfor gradssystemet.</w:t>
            </w:r>
            <w:r>
              <w:t xml:space="preserve"> Videreutdanninger er ment å tilpasses samfunnet og arbeidslivets behov og tar opp kvalifiserte kandidater på eget opptak.</w:t>
            </w:r>
          </w:p>
          <w:p w14:paraId="16C4AAC2" w14:textId="26ADC780" w:rsidR="00E754EA" w:rsidRDefault="00E754EA" w:rsidP="1268772F">
            <w:pPr>
              <w:spacing w:after="160" w:afterAutospacing="0" w:line="259" w:lineRule="auto"/>
            </w:pPr>
            <w:r>
              <w:t>Kan være frittstående enkeltemner, fagprogram med en serie eller samling av emner rettet mot en bestemt målgruppe eller fagområde eller erfaringsbaserte masterprogrammer.</w:t>
            </w:r>
          </w:p>
        </w:tc>
      </w:tr>
      <w:tr w:rsidR="009344B1" w14:paraId="1C626D6D" w14:textId="77777777" w:rsidTr="1268772F">
        <w:tc>
          <w:tcPr>
            <w:tcW w:w="3256" w:type="dxa"/>
          </w:tcPr>
          <w:p w14:paraId="74D4F67B" w14:textId="6880B481" w:rsidR="009344B1" w:rsidRDefault="009344B1" w:rsidP="00F46C61">
            <w:pPr>
              <w:spacing w:after="160" w:afterAutospacing="0" w:line="259" w:lineRule="auto"/>
            </w:pPr>
            <w:r w:rsidRPr="00B62A99">
              <w:t xml:space="preserve">Økonomisk </w:t>
            </w:r>
            <w:r w:rsidR="00B62A99" w:rsidRPr="00B62A99">
              <w:t>aktivitet</w:t>
            </w:r>
          </w:p>
        </w:tc>
        <w:tc>
          <w:tcPr>
            <w:tcW w:w="6378" w:type="dxa"/>
          </w:tcPr>
          <w:p w14:paraId="2900BD14" w14:textId="6608D64C" w:rsidR="009344B1" w:rsidRDefault="00B62A99" w:rsidP="00F46C61">
            <w:pPr>
              <w:spacing w:after="160" w:afterAutospacing="0" w:line="259" w:lineRule="auto"/>
            </w:pPr>
            <w:r w:rsidRPr="00B11A8A">
              <w:t xml:space="preserve">EVU som </w:t>
            </w:r>
            <w:r w:rsidRPr="00914EC3">
              <w:rPr>
                <w:i/>
              </w:rPr>
              <w:t xml:space="preserve">ikke </w:t>
            </w:r>
            <w:r w:rsidRPr="00B11A8A">
              <w:t xml:space="preserve">faller inn under definisjonen av </w:t>
            </w:r>
            <w:r w:rsidRPr="00B11A8A">
              <w:rPr>
                <w:i/>
              </w:rPr>
              <w:t>ikke-økonomisk aktivitet</w:t>
            </w:r>
            <w:r w:rsidRPr="00B11A8A">
              <w:t xml:space="preserve"> over.</w:t>
            </w:r>
          </w:p>
        </w:tc>
      </w:tr>
      <w:tr w:rsidR="00E754EA" w14:paraId="0B7289EF" w14:textId="77777777" w:rsidTr="1268772F">
        <w:tc>
          <w:tcPr>
            <w:tcW w:w="3256" w:type="dxa"/>
          </w:tcPr>
          <w:p w14:paraId="186FC04F" w14:textId="77777777" w:rsidR="00E754EA" w:rsidRDefault="00E754EA" w:rsidP="00F46C61">
            <w:pPr>
              <w:spacing w:after="160" w:afterAutospacing="0" w:line="259" w:lineRule="auto"/>
            </w:pPr>
            <w:r>
              <w:t>Årsenhet</w:t>
            </w:r>
          </w:p>
        </w:tc>
        <w:tc>
          <w:tcPr>
            <w:tcW w:w="6378" w:type="dxa"/>
          </w:tcPr>
          <w:p w14:paraId="12316168" w14:textId="77777777" w:rsidR="00E754EA" w:rsidRDefault="00E754EA" w:rsidP="00F46C61">
            <w:pPr>
              <w:spacing w:after="160" w:afterAutospacing="0" w:line="259" w:lineRule="auto"/>
            </w:pPr>
            <w:r>
              <w:t xml:space="preserve">60 studiepoeng </w:t>
            </w:r>
          </w:p>
        </w:tc>
      </w:tr>
    </w:tbl>
    <w:p w14:paraId="44223D50" w14:textId="6C50BD3A" w:rsidR="009362B7" w:rsidRPr="009362B7" w:rsidRDefault="009362B7" w:rsidP="00B50DD9"/>
    <w:sectPr w:rsidR="009362B7" w:rsidRPr="009362B7" w:rsidSect="00206D03">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13F32" w14:textId="77777777" w:rsidR="002F70B9" w:rsidRDefault="002F70B9" w:rsidP="00D45B77">
      <w:pPr>
        <w:spacing w:after="0"/>
      </w:pPr>
      <w:r>
        <w:separator/>
      </w:r>
    </w:p>
  </w:endnote>
  <w:endnote w:type="continuationSeparator" w:id="0">
    <w:p w14:paraId="4ADDA524" w14:textId="77777777" w:rsidR="002F70B9" w:rsidRDefault="002F70B9" w:rsidP="00D45B77">
      <w:pPr>
        <w:spacing w:after="0"/>
      </w:pPr>
      <w:r>
        <w:continuationSeparator/>
      </w:r>
    </w:p>
  </w:endnote>
  <w:endnote w:type="continuationNotice" w:id="1">
    <w:p w14:paraId="2A9FEA45" w14:textId="77777777" w:rsidR="002F70B9" w:rsidRDefault="002F7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pCentury Old Style">
    <w:altName w:val="DepCentury Old Style"/>
    <w:panose1 w:val="00000000000000000000"/>
    <w:charset w:val="00"/>
    <w:family w:val="roman"/>
    <w:notTrueType/>
    <w:pitch w:val="default"/>
    <w:sig w:usb0="00000003" w:usb1="00000000" w:usb2="00000000" w:usb3="00000000" w:csb0="00000001"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138205"/>
      <w:docPartObj>
        <w:docPartGallery w:val="Page Numbers (Bottom of Page)"/>
        <w:docPartUnique/>
      </w:docPartObj>
    </w:sdtPr>
    <w:sdtEndPr/>
    <w:sdtContent>
      <w:p w14:paraId="45E08B24" w14:textId="500A57EB" w:rsidR="003E7FC9" w:rsidRDefault="003E7FC9">
        <w:pPr>
          <w:pStyle w:val="Bunntekst"/>
          <w:jc w:val="center"/>
        </w:pPr>
        <w:r>
          <w:fldChar w:fldCharType="begin"/>
        </w:r>
        <w:r>
          <w:instrText>PAGE   \* MERGEFORMAT</w:instrText>
        </w:r>
        <w:r>
          <w:fldChar w:fldCharType="separate"/>
        </w:r>
        <w:r w:rsidR="00B76AD7">
          <w:rPr>
            <w:noProof/>
          </w:rPr>
          <w:t>8</w:t>
        </w:r>
        <w:r>
          <w:fldChar w:fldCharType="end"/>
        </w:r>
      </w:p>
    </w:sdtContent>
  </w:sdt>
  <w:p w14:paraId="5246B6F3" w14:textId="77777777" w:rsidR="003E7FC9" w:rsidRDefault="003E7FC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FABE" w14:textId="77777777" w:rsidR="002F70B9" w:rsidRDefault="002F70B9" w:rsidP="00D45B77">
      <w:pPr>
        <w:spacing w:after="0"/>
      </w:pPr>
      <w:r>
        <w:separator/>
      </w:r>
    </w:p>
  </w:footnote>
  <w:footnote w:type="continuationSeparator" w:id="0">
    <w:p w14:paraId="376A9C45" w14:textId="77777777" w:rsidR="002F70B9" w:rsidRDefault="002F70B9" w:rsidP="00D45B77">
      <w:pPr>
        <w:spacing w:after="0"/>
      </w:pPr>
      <w:r>
        <w:continuationSeparator/>
      </w:r>
    </w:p>
  </w:footnote>
  <w:footnote w:type="continuationNotice" w:id="1">
    <w:p w14:paraId="00AAB5CD" w14:textId="77777777" w:rsidR="002F70B9" w:rsidRDefault="002F70B9">
      <w:pPr>
        <w:spacing w:after="0"/>
      </w:pPr>
    </w:p>
  </w:footnote>
  <w:footnote w:id="2">
    <w:p w14:paraId="7531D20A" w14:textId="77777777" w:rsidR="003E7FC9" w:rsidRDefault="003E7FC9" w:rsidP="00287CFE">
      <w:pPr>
        <w:pStyle w:val="Fotnotetekst"/>
      </w:pPr>
      <w:r>
        <w:rPr>
          <w:rStyle w:val="Fotnotereferanse"/>
        </w:rPr>
        <w:footnoteRef/>
      </w:r>
      <w:r>
        <w:t xml:space="preserve"> </w:t>
      </w:r>
      <w:hyperlink r:id="rId1" w:history="1">
        <w:r w:rsidRPr="00D9185C">
          <w:rPr>
            <w:rStyle w:val="Hyperkobling"/>
          </w:rPr>
          <w:t>http://curia.europa.eu/juris/document/document.jsf?text=&amp;docid=200949&amp;pageIndex=0&amp;doclang=DA&amp;mode=req&amp;dir=&amp;occ=first&amp;part=1&amp;cid=172492</w:t>
        </w:r>
      </w:hyperlink>
      <w:r w:rsidRPr="00B05F97">
        <w:t>. Se punktene 143-145 hvor dette temaet omtales.</w:t>
      </w:r>
    </w:p>
  </w:footnote>
  <w:footnote w:id="3">
    <w:p w14:paraId="7718F81D" w14:textId="1DED07C9" w:rsidR="003E7FC9" w:rsidRDefault="003E7FC9">
      <w:pPr>
        <w:pStyle w:val="Fotnotetekst"/>
      </w:pPr>
      <w:r>
        <w:rPr>
          <w:rStyle w:val="Fotnotereferanse"/>
        </w:rPr>
        <w:footnoteRef/>
      </w:r>
      <w:r>
        <w:t xml:space="preserve"> </w:t>
      </w:r>
      <w:hyperlink r:id="rId2" w:history="1">
        <w:r w:rsidRPr="00C42DD7">
          <w:rPr>
            <w:rStyle w:val="Hyperkobling"/>
          </w:rPr>
          <w:t>https://lovdata.no/dokument/SF/forskrift/2005-12-15-1506</w:t>
        </w:r>
      </w:hyperlink>
    </w:p>
  </w:footnote>
  <w:footnote w:id="4">
    <w:p w14:paraId="371AF329" w14:textId="5F2B9193" w:rsidR="003E7FC9" w:rsidRDefault="003E7FC9">
      <w:pPr>
        <w:pStyle w:val="Fotnotetekst"/>
      </w:pPr>
      <w:r>
        <w:rPr>
          <w:rStyle w:val="Fotnotereferanse"/>
        </w:rPr>
        <w:footnoteRef/>
      </w:r>
      <w:r>
        <w:t xml:space="preserve"> </w:t>
      </w:r>
      <w:hyperlink r:id="rId3" w:history="1">
        <w:r w:rsidRPr="006775BD">
          <w:rPr>
            <w:rStyle w:val="Hyperkobling"/>
          </w:rPr>
          <w:t>https://www.regjeringen.no/no/tema/naringsliv/konkurransepolitikk/regler-om-offentlig-stotte-listeside/offentlig-stotte-regelverk/id430118/</w:t>
        </w:r>
      </w:hyperlink>
    </w:p>
  </w:footnote>
  <w:footnote w:id="5">
    <w:p w14:paraId="007B15E3" w14:textId="58E42995" w:rsidR="003E7FC9" w:rsidRDefault="003E7FC9" w:rsidP="006F4548">
      <w:pPr>
        <w:pStyle w:val="Fotnotetekst"/>
      </w:pPr>
      <w:r>
        <w:rPr>
          <w:rStyle w:val="Fotnotereferanse"/>
        </w:rPr>
        <w:footnoteRef/>
      </w:r>
      <w:r>
        <w:t xml:space="preserve"> </w:t>
      </w:r>
      <w:hyperlink r:id="rId4" w:history="1">
        <w:r w:rsidRPr="00C42DD7">
          <w:rPr>
            <w:rStyle w:val="Hyperkobling"/>
          </w:rPr>
          <w:t>https://www.regjeringen.no/no/dokumenter/rundskriv-f-07-13-reglement-om-statlige-/id734714/</w:t>
        </w:r>
      </w:hyperlink>
    </w:p>
  </w:footnote>
  <w:footnote w:id="6">
    <w:p w14:paraId="4E14CBDC" w14:textId="77777777" w:rsidR="003E7FC9" w:rsidRDefault="003E7FC9" w:rsidP="00152B3E">
      <w:pPr>
        <w:pStyle w:val="Fotnotetekst"/>
      </w:pPr>
      <w:r>
        <w:rPr>
          <w:rStyle w:val="Fotnotereferanse"/>
        </w:rPr>
        <w:footnoteRef/>
      </w:r>
      <w:r>
        <w:t xml:space="preserve"> </w:t>
      </w:r>
      <w:hyperlink r:id="rId5" w:history="1">
        <w:r w:rsidRPr="00313D7C">
          <w:rPr>
            <w:rStyle w:val="Hyperkobling"/>
          </w:rPr>
          <w:t>https://eur-lex.europa.eu/legal-content/EN/TXT/PDF/?uri=CELEX:E2014C0271&amp;from=EN</w:t>
        </w:r>
      </w:hyperlink>
      <w:r>
        <w:t>, (19)</w:t>
      </w:r>
    </w:p>
  </w:footnote>
  <w:footnote w:id="7">
    <w:p w14:paraId="3620CAB9" w14:textId="0071FB01" w:rsidR="003E7FC9" w:rsidRDefault="003E7FC9">
      <w:pPr>
        <w:pStyle w:val="Fotnotetekst"/>
      </w:pPr>
      <w:r>
        <w:rPr>
          <w:rStyle w:val="Fotnotereferanse"/>
        </w:rPr>
        <w:footnoteRef/>
      </w:r>
      <w:r>
        <w:t xml:space="preserve"> </w:t>
      </w:r>
      <w:hyperlink r:id="rId6" w:history="1">
        <w:r w:rsidRPr="00C42DD7">
          <w:rPr>
            <w:rStyle w:val="Hyperkobling"/>
          </w:rPr>
          <w:t>https://www.regjeringen.no/contentassets/09b2321172214bbab182515b50d06da4/eksempler-pa-klassifisering-og-forvaltning-av-bidrags--og-oppdragsfinansiert-aktivitet-boa-2018.pdf</w:t>
        </w:r>
      </w:hyperlink>
    </w:p>
  </w:footnote>
  <w:footnote w:id="8">
    <w:p w14:paraId="099B7959" w14:textId="11E84E36" w:rsidR="003E7FC9" w:rsidRDefault="003E7FC9">
      <w:pPr>
        <w:pStyle w:val="Fotnotetekst"/>
      </w:pPr>
      <w:r>
        <w:rPr>
          <w:rStyle w:val="Fotnotereferanse"/>
        </w:rPr>
        <w:footnoteRef/>
      </w:r>
      <w:r>
        <w:t xml:space="preserve"> </w:t>
      </w:r>
      <w:hyperlink r:id="rId7" w:history="1">
        <w:r w:rsidRPr="00C42DD7">
          <w:rPr>
            <w:rStyle w:val="Hyperkobling"/>
          </w:rPr>
          <w:t>https://www.regjeringen.no/contentassets/31af8e2c3a224ac2829e48cc91d89083/orientering-om-statsbudsjettet-2018-for-universiteter-og-hogskolar.pdf</w:t>
        </w:r>
      </w:hyperlink>
      <w:r>
        <w:t>, 3.4 og 4.2.2.2</w:t>
      </w:r>
    </w:p>
  </w:footnote>
  <w:footnote w:id="9">
    <w:p w14:paraId="60BD9FBC" w14:textId="2F0C6D58" w:rsidR="003E7FC9" w:rsidRDefault="003E7FC9" w:rsidP="00077A27">
      <w:pPr>
        <w:pStyle w:val="Fotnotetekst"/>
      </w:pPr>
      <w:r>
        <w:rPr>
          <w:rStyle w:val="Fotnotereferanse"/>
        </w:rPr>
        <w:footnoteRef/>
      </w:r>
      <w:r>
        <w:t xml:space="preserve"> </w:t>
      </w:r>
      <w:hyperlink r:id="rId8" w:history="1">
        <w:r w:rsidRPr="00C42DD7">
          <w:rPr>
            <w:rStyle w:val="Hyperkobling"/>
          </w:rPr>
          <w:t>http://dbh.nsd.uib.no/dokumentasjon/kategorier.action</w:t>
        </w:r>
      </w:hyperlink>
    </w:p>
  </w:footnote>
  <w:footnote w:id="10">
    <w:p w14:paraId="0F2DC55B" w14:textId="3B1CAE86" w:rsidR="003E7FC9" w:rsidRDefault="003E7FC9" w:rsidP="00077A27">
      <w:pPr>
        <w:pStyle w:val="Fotnotetekst"/>
      </w:pPr>
      <w:r>
        <w:rPr>
          <w:rStyle w:val="Fotnotereferanse"/>
        </w:rPr>
        <w:footnoteRef/>
      </w:r>
      <w:r>
        <w:t xml:space="preserve"> Frem til i dag har sektoren ikke hatt en omforent beregningsmodell for totale kostnader for EVU. Ny TDI-modell åpner for beregning av faktiske kostnader. Dette forandrer imidlertid ikke dagens krav til beregning av egenfinansieringsprosent for programmer </w:t>
      </w:r>
      <w:r w:rsidRPr="00EF378F">
        <w:t>som har delvis ekstern finansiering</w:t>
      </w:r>
      <w:r w:rsidR="001606CB">
        <w:t xml:space="preserve"> i form av egenbetaling</w:t>
      </w:r>
      <w:r>
        <w:t>.</w:t>
      </w:r>
    </w:p>
  </w:footnote>
  <w:footnote w:id="11">
    <w:p w14:paraId="0ED99575" w14:textId="76629401" w:rsidR="003E7FC9" w:rsidRDefault="003E7FC9">
      <w:pPr>
        <w:pStyle w:val="Fotnotetekst"/>
      </w:pPr>
      <w:r>
        <w:rPr>
          <w:rStyle w:val="Fotnotereferanse"/>
        </w:rPr>
        <w:footnoteRef/>
      </w:r>
      <w:r>
        <w:t xml:space="preserve"> Dvs. at det kun gis uttelling på studiepoengproduksjon. Programmet leder altså ikke til kandidat. </w:t>
      </w:r>
      <w:r w:rsidRPr="00AC1B5E">
        <w:t xml:space="preserve">Se beskrivelse </w:t>
      </w:r>
      <w:r>
        <w:t xml:space="preserve">av finansieringssystemet her: </w:t>
      </w:r>
      <w:hyperlink r:id="rId9" w:history="1">
        <w:r w:rsidRPr="00C42DD7">
          <w:rPr>
            <w:rStyle w:val="Hyperkobling"/>
          </w:rPr>
          <w:t>https://www.regjeringen.no/no/dokumenter/prop.-1-s-kd-20152016/id2455670/</w:t>
        </w:r>
      </w:hyperlink>
    </w:p>
    <w:p w14:paraId="7AA67B17" w14:textId="77777777" w:rsidR="003E7FC9" w:rsidRPr="00AC1B5E" w:rsidRDefault="003E7FC9">
      <w:pPr>
        <w:pStyle w:val="Fotnotetekst"/>
      </w:pPr>
    </w:p>
  </w:footnote>
  <w:footnote w:id="12">
    <w:p w14:paraId="6D9A607E" w14:textId="57470218" w:rsidR="003E7FC9" w:rsidRPr="00C053F7" w:rsidRDefault="003E7FC9" w:rsidP="00077A27">
      <w:pPr>
        <w:pStyle w:val="Fotnotetekst"/>
      </w:pPr>
      <w:r>
        <w:rPr>
          <w:rStyle w:val="Fotnotereferanse"/>
        </w:rPr>
        <w:footnoteRef/>
      </w:r>
      <w:r w:rsidRPr="00C053F7">
        <w:t xml:space="preserve"> </w:t>
      </w:r>
      <w:hyperlink r:id="rId10" w:history="1">
        <w:r w:rsidRPr="00C42DD7">
          <w:rPr>
            <w:rStyle w:val="Hyperkobling"/>
          </w:rPr>
          <w:t>https://lovdata.no/dokument/SF/forskrift/2005-12-15-1506</w:t>
        </w:r>
      </w:hyperlink>
    </w:p>
  </w:footnote>
  <w:footnote w:id="13">
    <w:p w14:paraId="48A9BEAC" w14:textId="3C51B40F" w:rsidR="003E7FC9" w:rsidRDefault="003E7FC9" w:rsidP="00077A27">
      <w:pPr>
        <w:pStyle w:val="Fotnotetekst"/>
      </w:pPr>
      <w:r>
        <w:rPr>
          <w:rStyle w:val="Fotnotereferanse"/>
        </w:rPr>
        <w:footnoteRef/>
      </w:r>
      <w:r w:rsidRPr="00C053F7">
        <w:t xml:space="preserve"> </w:t>
      </w:r>
      <w:hyperlink r:id="rId11" w:history="1">
        <w:r w:rsidRPr="00C42DD7">
          <w:rPr>
            <w:rStyle w:val="Hyperkobling"/>
          </w:rPr>
          <w:t>https://www.regjeringen.no/no/dokumenter/rundskriv-f-07-13-reglement-om-statlige-/id734714/</w:t>
        </w:r>
      </w:hyperlink>
    </w:p>
  </w:footnote>
  <w:footnote w:id="14">
    <w:p w14:paraId="6620E2C3" w14:textId="24B2A568" w:rsidR="003E7FC9" w:rsidRDefault="003E7FC9" w:rsidP="00077A27">
      <w:pPr>
        <w:pStyle w:val="Fotnotetekst"/>
      </w:pPr>
      <w:r>
        <w:rPr>
          <w:rStyle w:val="Fotnotereferanse"/>
        </w:rPr>
        <w:footnoteRef/>
      </w:r>
      <w:r>
        <w:t xml:space="preserve"> </w:t>
      </w:r>
      <w:hyperlink r:id="rId12" w:history="1">
        <w:r w:rsidRPr="006775BD">
          <w:rPr>
            <w:rStyle w:val="Hyperkobling"/>
          </w:rPr>
          <w:t>https://www.regjeringen.no/no/tema/naringsliv/konkurransepolitikk/regler-om-offentlig-stotte-listeside/offentlig-stotte-regelverk/id430118/</w:t>
        </w:r>
      </w:hyperlink>
    </w:p>
  </w:footnote>
  <w:footnote w:id="15">
    <w:p w14:paraId="7E545DE3" w14:textId="63C1520D" w:rsidR="003E7FC9" w:rsidRPr="005327D8" w:rsidRDefault="003E7FC9" w:rsidP="00712F51">
      <w:pPr>
        <w:rPr>
          <w:sz w:val="20"/>
        </w:rPr>
      </w:pPr>
      <w:r w:rsidRPr="00712F51">
        <w:rPr>
          <w:rStyle w:val="Fotnotereferanse"/>
          <w:sz w:val="20"/>
        </w:rPr>
        <w:footnoteRef/>
      </w:r>
      <w:r>
        <w:t xml:space="preserve"> </w:t>
      </w:r>
      <w:hyperlink r:id="rId13" w:history="1">
        <w:r w:rsidRPr="00712F51">
          <w:rPr>
            <w:rStyle w:val="Hyperkobling"/>
            <w:sz w:val="20"/>
          </w:rPr>
          <w:t>https://www.regjeringen.no/contentassets/09b2321172214bbab182515b50d06da4/eksempler-pa-klassifisering-og-forvaltning-av-bidrags--og-oppdragsfinansiert-aktivitet-boa-2018.pdf</w:t>
        </w:r>
      </w:hyperlink>
      <w:r>
        <w:rPr>
          <w:rStyle w:val="Hyperkobling"/>
          <w:sz w:val="20"/>
        </w:rPr>
        <w:t xml:space="preserve">. </w:t>
      </w:r>
      <w:r w:rsidRPr="005327D8">
        <w:rPr>
          <w:rStyle w:val="Hyperkobling"/>
          <w:color w:val="auto"/>
          <w:sz w:val="20"/>
          <w:u w:val="none"/>
        </w:rPr>
        <w:t xml:space="preserve">Denne må leses i lys av statsstøtteregelverket. </w:t>
      </w:r>
    </w:p>
  </w:footnote>
  <w:footnote w:id="16">
    <w:p w14:paraId="50D49232" w14:textId="196681D6" w:rsidR="003E7FC9" w:rsidRPr="00712F51" w:rsidRDefault="003E7FC9" w:rsidP="00077A27">
      <w:pPr>
        <w:pStyle w:val="Fotnotetekst"/>
      </w:pPr>
      <w:r w:rsidRPr="00712F51">
        <w:rPr>
          <w:rStyle w:val="Fotnotereferanse"/>
        </w:rPr>
        <w:footnoteRef/>
      </w:r>
      <w:r w:rsidRPr="00712F51">
        <w:t xml:space="preserve"> </w:t>
      </w:r>
      <w:hyperlink r:id="rId14" w:history="1">
        <w:r w:rsidRPr="00712F51">
          <w:rPr>
            <w:rStyle w:val="Hyperkobling"/>
          </w:rPr>
          <w:t>http://eur-lex.europa.eu/legal-content/EN/TXT/PDF/?uri=CELEX:E2014C0271&amp;from=EN</w:t>
        </w:r>
      </w:hyperlink>
      <w:r w:rsidRPr="00712F51">
        <w:t xml:space="preserve"> og </w:t>
      </w:r>
      <w:hyperlink r:id="rId15" w:history="1">
        <w:r w:rsidRPr="00712F51">
          <w:rPr>
            <w:rStyle w:val="Hyperkobling"/>
          </w:rPr>
          <w:t>http://eur-lex.europa.eu/legal-content/EN/TXT/PDF/?uri=CELEX:E2017C0003&amp;from=EN</w:t>
        </w:r>
      </w:hyperlink>
    </w:p>
    <w:p w14:paraId="05F96A06" w14:textId="77777777" w:rsidR="003E7FC9" w:rsidRDefault="003E7FC9" w:rsidP="00077A27">
      <w:pPr>
        <w:pStyle w:val="Fotnotetekst"/>
      </w:pPr>
    </w:p>
  </w:footnote>
  <w:footnote w:id="17">
    <w:p w14:paraId="4C652432" w14:textId="3C9BC5BE" w:rsidR="003E7FC9" w:rsidRDefault="003E7FC9" w:rsidP="00077A27">
      <w:pPr>
        <w:pStyle w:val="Fotnotetekst"/>
      </w:pPr>
      <w:r>
        <w:rPr>
          <w:rStyle w:val="Fotnotereferanse"/>
        </w:rPr>
        <w:footnoteRef/>
      </w:r>
      <w:r>
        <w:t xml:space="preserve"> </w:t>
      </w:r>
      <w:hyperlink r:id="rId16" w:history="1">
        <w:r w:rsidRPr="00C42DD7">
          <w:rPr>
            <w:rStyle w:val="Hyperkobling"/>
          </w:rPr>
          <w:t>http://curia.europa.eu/juris/document/document.jsf?text=&amp;docid=200949&amp;pageIndex=0&amp;doclang=DA&amp;mode=req&amp;dir=&amp;occ=first&amp;part=1&amp;cid=172492</w:t>
        </w:r>
      </w:hyperlink>
      <w:r>
        <w:t>. Se punktene 143-145 hvor dette temaet omtales.</w:t>
      </w:r>
    </w:p>
  </w:footnote>
  <w:footnote w:id="18">
    <w:p w14:paraId="5F2A7EF5" w14:textId="7AC107EB" w:rsidR="003E7FC9" w:rsidRDefault="003E7FC9" w:rsidP="00077A27">
      <w:pPr>
        <w:pStyle w:val="Fotnotetekst"/>
      </w:pPr>
      <w:r>
        <w:rPr>
          <w:rStyle w:val="Fotnotereferanse"/>
        </w:rPr>
        <w:footnoteRef/>
      </w:r>
      <w:r>
        <w:t xml:space="preserve"> Kategorier: </w:t>
      </w:r>
      <w:r w:rsidRPr="00556E42">
        <w:t>ikke-økonomisk utdanning som er gratis, ikke-økonomisk utdanning</w:t>
      </w:r>
      <w:r>
        <w:t xml:space="preserve"> mot betaling</w:t>
      </w:r>
      <w:r w:rsidRPr="00556E42">
        <w:t xml:space="preserve"> fra student</w:t>
      </w:r>
      <w:r>
        <w:t xml:space="preserve"> inntil 49 % av kostnader,</w:t>
      </w:r>
      <w:r w:rsidRPr="00556E42">
        <w:t xml:space="preserve"> og økonomisk aktivitet der student dekker totale kostnader</w:t>
      </w:r>
      <w:r>
        <w:t xml:space="preserve"> pluss margin for fortjeneste.</w:t>
      </w:r>
    </w:p>
  </w:footnote>
  <w:footnote w:id="19">
    <w:p w14:paraId="5FD1CF5B" w14:textId="7F846C4D" w:rsidR="003E7FC9" w:rsidRDefault="003E7FC9">
      <w:pPr>
        <w:pStyle w:val="Fotnotetekst"/>
      </w:pPr>
      <w:r>
        <w:rPr>
          <w:rStyle w:val="Fotnotereferanse"/>
        </w:rPr>
        <w:footnoteRef/>
      </w:r>
      <w:r>
        <w:t xml:space="preserve"> </w:t>
      </w:r>
      <w:r w:rsidRPr="262002DF">
        <w:rPr>
          <w:rFonts w:ascii="Calibri" w:eastAsia="Calibri" w:hAnsi="Calibri" w:cs="Calibri"/>
          <w:i/>
          <w:iCs/>
          <w:u w:val="single"/>
        </w:rPr>
        <w:t xml:space="preserve">Eller: studentens betaling for andel av kostnadene ved studietilbudet. </w:t>
      </w:r>
    </w:p>
  </w:footnote>
  <w:footnote w:id="20">
    <w:p w14:paraId="09057AB1" w14:textId="498B0D46" w:rsidR="003E7FC9" w:rsidRDefault="003E7FC9" w:rsidP="00B36948">
      <w:pPr>
        <w:pStyle w:val="Merknadstekst"/>
      </w:pPr>
      <w:r>
        <w:rPr>
          <w:rStyle w:val="Fotnotereferanse"/>
        </w:rPr>
        <w:footnoteRef/>
      </w:r>
      <w:r>
        <w:t xml:space="preserve"> </w:t>
      </w:r>
      <w:hyperlink r:id="rId17" w:history="1">
        <w:r w:rsidRPr="00915EBF">
          <w:rPr>
            <w:rStyle w:val="Hyperkobling"/>
          </w:rPr>
          <w:t>https://www.stortinget.no/Global/pdf/Innstillinger/Odelstinget/2004-2005/inno-200405-048.pdf</w:t>
        </w:r>
      </w:hyperlink>
      <w:r>
        <w:t xml:space="preserve">; </w:t>
      </w:r>
      <w:hyperlink r:id="rId18" w:history="1">
        <w:r w:rsidRPr="1268772F">
          <w:rPr>
            <w:rStyle w:val="Hyperkobling"/>
            <w:rFonts w:asciiTheme="majorEastAsia" w:eastAsiaTheme="majorEastAsia" w:hAnsiTheme="majorEastAsia" w:cstheme="majorEastAsia"/>
          </w:rPr>
          <w:t>https://www.regjeringen.no/contentassets/dd3da6e83f7348268dc7b0e43943d009/no/pdfs/otp200320040079000dddpdfs.pdf</w:t>
        </w:r>
      </w:hyperlink>
    </w:p>
  </w:footnote>
  <w:footnote w:id="21">
    <w:p w14:paraId="324080EA" w14:textId="77777777" w:rsidR="003E7FC9" w:rsidRDefault="003E7FC9">
      <w:pPr>
        <w:pStyle w:val="Fotnotetekst"/>
      </w:pPr>
      <w:r>
        <w:rPr>
          <w:rStyle w:val="Fotnotereferanse"/>
        </w:rPr>
        <w:footnoteRef/>
      </w:r>
      <w:r>
        <w:t xml:space="preserve"> Rundskriv F-006-00</w:t>
      </w:r>
    </w:p>
  </w:footnote>
  <w:footnote w:id="22">
    <w:p w14:paraId="6F9E55B7" w14:textId="77777777" w:rsidR="003E7FC9" w:rsidRDefault="003E7FC9" w:rsidP="008C5B90">
      <w:pPr>
        <w:pStyle w:val="Fotnotetekst"/>
      </w:pPr>
      <w:r>
        <w:rPr>
          <w:rStyle w:val="Fotnotereferanse"/>
        </w:rPr>
        <w:footnoteRef/>
      </w:r>
      <w:r>
        <w:t xml:space="preserve"> Kommentarutgaven «Universitets- og høyskoleloven av 2005 – med kommentarer», Jan Frithjof Bernt, Fagbokforlaget.</w:t>
      </w:r>
    </w:p>
  </w:footnote>
  <w:footnote w:id="23">
    <w:p w14:paraId="284B3CFA" w14:textId="445E18C4" w:rsidR="003E7FC9" w:rsidRDefault="003E7FC9">
      <w:pPr>
        <w:pStyle w:val="Fotnotetekst"/>
      </w:pPr>
      <w:r>
        <w:rPr>
          <w:rStyle w:val="Fotnotereferanse"/>
        </w:rPr>
        <w:footnoteRef/>
      </w:r>
      <w:r>
        <w:t xml:space="preserve"> </w:t>
      </w:r>
      <w:hyperlink r:id="rId19" w:history="1">
        <w:r w:rsidRPr="00C42DD7">
          <w:rPr>
            <w:rStyle w:val="Hyperkobling"/>
          </w:rPr>
          <w:t>https://www.regjeringen.no/no/dokumenter/horing-utkast-til-forskrift-om-egenbetal/id98000/?factbox=horingsnotater&amp;lastvisited=undefined</w:t>
        </w:r>
      </w:hyperlink>
      <w:r w:rsidRPr="00522C86">
        <w:t>, (vår utheving)</w:t>
      </w:r>
    </w:p>
    <w:p w14:paraId="3AE3C57F" w14:textId="77777777" w:rsidR="003E7FC9" w:rsidRDefault="003E7FC9">
      <w:pPr>
        <w:pStyle w:val="Fotnotetekst"/>
      </w:pPr>
    </w:p>
  </w:footnote>
  <w:footnote w:id="24">
    <w:p w14:paraId="5C68BB8F" w14:textId="1EC326D3" w:rsidR="003E7FC9" w:rsidRDefault="003E7FC9">
      <w:pPr>
        <w:pStyle w:val="Fotnotetekst"/>
      </w:pPr>
      <w:r>
        <w:rPr>
          <w:rStyle w:val="Fotnotereferanse"/>
        </w:rPr>
        <w:footnoteRef/>
      </w:r>
      <w:r>
        <w:t xml:space="preserve"> </w:t>
      </w:r>
      <w:hyperlink r:id="rId20" w:history="1">
        <w:r w:rsidRPr="00313D7C">
          <w:rPr>
            <w:rStyle w:val="Hyperkobling"/>
          </w:rPr>
          <w:t>http://curia.europa.eu/juris/document/document.jsf?text=&amp;docid=200949&amp;pageIndex=0&amp;doclang=DA&amp;mode=req&amp;dir=&amp;occ=first&amp;part=1&amp;cid=172492</w:t>
        </w:r>
      </w:hyperlink>
      <w:r w:rsidRPr="00B05F97">
        <w:t>. Se punktene 143-145 hvor dette temaet omtales.</w:t>
      </w:r>
    </w:p>
  </w:footnote>
  <w:footnote w:id="25">
    <w:p w14:paraId="4AAC2945" w14:textId="76702D9C" w:rsidR="003E7FC9" w:rsidRDefault="003E7FC9">
      <w:pPr>
        <w:pStyle w:val="Fotnotetekst"/>
      </w:pPr>
      <w:r>
        <w:rPr>
          <w:rStyle w:val="Fotnotereferanse"/>
        </w:rPr>
        <w:footnoteRef/>
      </w:r>
      <w:r>
        <w:t xml:space="preserve"> </w:t>
      </w:r>
      <w:hyperlink r:id="rId21" w:history="1">
        <w:r w:rsidR="00506DD6" w:rsidRPr="00B76D2C">
          <w:rPr>
            <w:rStyle w:val="Hyperkobling"/>
          </w:rPr>
          <w:t>https://lovdata.no/dokument/SF/forskrift/2005-12-15-1506</w:t>
        </w:r>
      </w:hyperlink>
      <w:r w:rsidR="00506DD6">
        <w:t>, vår utheving</w:t>
      </w:r>
    </w:p>
    <w:p w14:paraId="272C426C" w14:textId="77777777" w:rsidR="00506DD6" w:rsidRDefault="00506DD6">
      <w:pPr>
        <w:pStyle w:val="Fotnotetekst"/>
      </w:pPr>
    </w:p>
    <w:p w14:paraId="06C03C5D" w14:textId="77777777" w:rsidR="003E7FC9" w:rsidRDefault="003E7FC9">
      <w:pPr>
        <w:pStyle w:val="Fotnotetekst"/>
      </w:pPr>
    </w:p>
  </w:footnote>
  <w:footnote w:id="26">
    <w:p w14:paraId="478006DE" w14:textId="7A7AC950" w:rsidR="003E7FC9" w:rsidRDefault="003E7FC9">
      <w:pPr>
        <w:pStyle w:val="Fotnotetekst"/>
      </w:pPr>
      <w:r>
        <w:rPr>
          <w:rStyle w:val="Fotnotereferanse"/>
        </w:rPr>
        <w:footnoteRef/>
      </w:r>
      <w:r>
        <w:t xml:space="preserve"> </w:t>
      </w:r>
      <w:hyperlink r:id="rId22" w:history="1">
        <w:r w:rsidRPr="00C42DD7">
          <w:rPr>
            <w:rStyle w:val="Hyperkobling"/>
          </w:rPr>
          <w:t>https://www.regjeringen.no/contentassets/0c36c9f9c1ca4ecebecc7142b2420511/rapprt-like-konkurransevilkar-for-offentlige-og-private-aktorer.pdf</w:t>
        </w:r>
      </w:hyperlink>
    </w:p>
    <w:p w14:paraId="2082008B" w14:textId="77777777" w:rsidR="003E7FC9" w:rsidRDefault="003E7FC9">
      <w:pPr>
        <w:pStyle w:val="Fotnotetekst"/>
      </w:pPr>
    </w:p>
  </w:footnote>
  <w:footnote w:id="27">
    <w:p w14:paraId="628980A8" w14:textId="62787FC2" w:rsidR="003E7FC9" w:rsidRDefault="003E7FC9">
      <w:pPr>
        <w:pStyle w:val="Fotnotetekst"/>
      </w:pPr>
      <w:r>
        <w:rPr>
          <w:rStyle w:val="Fotnotereferanse"/>
        </w:rPr>
        <w:footnoteRef/>
      </w:r>
      <w:r>
        <w:t xml:space="preserve"> </w:t>
      </w:r>
      <w:hyperlink r:id="rId23" w:history="1">
        <w:r w:rsidRPr="00C42DD7">
          <w:rPr>
            <w:rStyle w:val="Hyperkobling"/>
          </w:rPr>
          <w:t>https://www.regjeringen.no/no/dokumenter/horing-utkast-til-forskrift-om-egenbetal/id98000/?factbox=horingsbrev&amp;lastvisited=undefined</w:t>
        </w:r>
      </w:hyperlink>
    </w:p>
    <w:p w14:paraId="1B8A209F" w14:textId="77777777" w:rsidR="003E7FC9" w:rsidRDefault="003E7FC9">
      <w:pPr>
        <w:pStyle w:val="Fotnotetekst"/>
      </w:pPr>
    </w:p>
  </w:footnote>
  <w:footnote w:id="28">
    <w:p w14:paraId="50199ACD" w14:textId="6E7F3D27" w:rsidR="003E7FC9" w:rsidRDefault="003E7FC9" w:rsidP="00077A27">
      <w:pPr>
        <w:pStyle w:val="Fotnotetekst"/>
      </w:pPr>
      <w:r>
        <w:rPr>
          <w:rStyle w:val="Fotnotereferanse"/>
        </w:rPr>
        <w:footnoteRef/>
      </w:r>
      <w:r>
        <w:t xml:space="preserve"> </w:t>
      </w:r>
      <w:hyperlink r:id="rId24" w:history="1">
        <w:r w:rsidRPr="00C42DD7">
          <w:rPr>
            <w:rStyle w:val="Hyperkobling"/>
          </w:rPr>
          <w:t>https://www.lanekassen.no/nb-NO/Stipend-og-lan/Hoyere-utdanning/utdanninger-du-kan-fa-stotte-til/Videreutdanning_deltid_heltid/</w:t>
        </w:r>
      </w:hyperlink>
    </w:p>
    <w:p w14:paraId="30E45F28" w14:textId="77777777" w:rsidR="003E7FC9" w:rsidRDefault="003E7FC9" w:rsidP="00077A27">
      <w:pPr>
        <w:pStyle w:val="Fotnotetekst"/>
      </w:pPr>
    </w:p>
  </w:footnote>
  <w:footnote w:id="29">
    <w:p w14:paraId="33BEFB66" w14:textId="77777777" w:rsidR="003E7FC9" w:rsidRDefault="003E7FC9" w:rsidP="00B62A99">
      <w:pPr>
        <w:pStyle w:val="Fotnotetekst"/>
      </w:pPr>
      <w:r>
        <w:rPr>
          <w:rStyle w:val="Fotnotereferanse"/>
        </w:rPr>
        <w:footnoteRef/>
      </w:r>
      <w:r>
        <w:t xml:space="preserve"> </w:t>
      </w:r>
      <w:hyperlink r:id="rId25" w:history="1">
        <w:r w:rsidRPr="00313D7C">
          <w:rPr>
            <w:rStyle w:val="Hyperkobling"/>
          </w:rPr>
          <w:t>https://eur-lex.europa.eu/legal-content/EN/TXT/PDF/?uri=CELEX:E2014C0271&amp;from=EN</w:t>
        </w:r>
      </w:hyperlink>
      <w:r>
        <w:t>,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5B03"/>
    <w:multiLevelType w:val="hybridMultilevel"/>
    <w:tmpl w:val="A6021336"/>
    <w:lvl w:ilvl="0" w:tplc="6962629C">
      <w:start w:val="1"/>
      <w:numFmt w:val="decimal"/>
      <w:lvlText w:val="(%1)"/>
      <w:lvlJc w:val="left"/>
      <w:pPr>
        <w:ind w:left="360" w:hanging="360"/>
      </w:pPr>
      <w:rPr>
        <w:rFonts w:ascii="Calibri" w:eastAsiaTheme="minorHAnsi" w:hAnsi="Calibri" w:cs="Calibri"/>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40C6838"/>
    <w:multiLevelType w:val="multilevel"/>
    <w:tmpl w:val="10F8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07A3E"/>
    <w:multiLevelType w:val="hybridMultilevel"/>
    <w:tmpl w:val="EE6C5E6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D412901"/>
    <w:multiLevelType w:val="multilevel"/>
    <w:tmpl w:val="D80281E2"/>
    <w:styleLink w:val="Stil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B2277C"/>
    <w:multiLevelType w:val="hybridMultilevel"/>
    <w:tmpl w:val="A26A3224"/>
    <w:lvl w:ilvl="0" w:tplc="F34C38D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D55B50"/>
    <w:multiLevelType w:val="hybridMultilevel"/>
    <w:tmpl w:val="8E0266C2"/>
    <w:lvl w:ilvl="0" w:tplc="B9F69214">
      <w:start w:val="1"/>
      <w:numFmt w:val="lowerLetter"/>
      <w:lvlText w:val="%1)"/>
      <w:lvlJc w:val="left"/>
      <w:pPr>
        <w:ind w:left="360" w:hanging="360"/>
      </w:pPr>
      <w:rPr>
        <w:rFonts w:asciiTheme="minorHAnsi" w:eastAsiaTheme="majorEastAsia" w:hAnsiTheme="minorHAnsi" w:cstheme="minorHAnsi" w:hint="default"/>
        <w:b/>
        <w:color w:val="000000" w:themeColor="text1"/>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21D09DC"/>
    <w:multiLevelType w:val="hybridMultilevel"/>
    <w:tmpl w:val="9B44FEB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2CC41A2"/>
    <w:multiLevelType w:val="hybridMultilevel"/>
    <w:tmpl w:val="5546B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30E22CC"/>
    <w:multiLevelType w:val="hybridMultilevel"/>
    <w:tmpl w:val="3B220668"/>
    <w:lvl w:ilvl="0" w:tplc="F34C38D4">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33D3872"/>
    <w:multiLevelType w:val="multilevel"/>
    <w:tmpl w:val="10F86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963658"/>
    <w:multiLevelType w:val="multilevel"/>
    <w:tmpl w:val="CAEC4D7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AD34F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E4728E"/>
    <w:multiLevelType w:val="hybridMultilevel"/>
    <w:tmpl w:val="582297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1CA34B35"/>
    <w:multiLevelType w:val="hybridMultilevel"/>
    <w:tmpl w:val="F5D0C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E6D6B70"/>
    <w:multiLevelType w:val="multilevel"/>
    <w:tmpl w:val="1FF692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06702E"/>
    <w:multiLevelType w:val="hybridMultilevel"/>
    <w:tmpl w:val="D60055DC"/>
    <w:lvl w:ilvl="0" w:tplc="4DF4FE7E">
      <w:start w:val="1"/>
      <w:numFmt w:val="bullet"/>
      <w:lvlText w:val="•"/>
      <w:lvlJc w:val="left"/>
      <w:pPr>
        <w:tabs>
          <w:tab w:val="num" w:pos="720"/>
        </w:tabs>
        <w:ind w:left="720" w:hanging="360"/>
      </w:pPr>
      <w:rPr>
        <w:rFonts w:ascii="Arial" w:hAnsi="Arial" w:hint="default"/>
      </w:rPr>
    </w:lvl>
    <w:lvl w:ilvl="1" w:tplc="E8A47EC0">
      <w:start w:val="250"/>
      <w:numFmt w:val="bullet"/>
      <w:lvlText w:val="–"/>
      <w:lvlJc w:val="left"/>
      <w:pPr>
        <w:tabs>
          <w:tab w:val="num" w:pos="1440"/>
        </w:tabs>
        <w:ind w:left="1440" w:hanging="360"/>
      </w:pPr>
      <w:rPr>
        <w:rFonts w:ascii="Arial" w:hAnsi="Arial" w:hint="default"/>
      </w:rPr>
    </w:lvl>
    <w:lvl w:ilvl="2" w:tplc="241A5862" w:tentative="1">
      <w:start w:val="1"/>
      <w:numFmt w:val="bullet"/>
      <w:lvlText w:val="•"/>
      <w:lvlJc w:val="left"/>
      <w:pPr>
        <w:tabs>
          <w:tab w:val="num" w:pos="2160"/>
        </w:tabs>
        <w:ind w:left="2160" w:hanging="360"/>
      </w:pPr>
      <w:rPr>
        <w:rFonts w:ascii="Arial" w:hAnsi="Arial" w:hint="default"/>
      </w:rPr>
    </w:lvl>
    <w:lvl w:ilvl="3" w:tplc="1D28D354" w:tentative="1">
      <w:start w:val="1"/>
      <w:numFmt w:val="bullet"/>
      <w:lvlText w:val="•"/>
      <w:lvlJc w:val="left"/>
      <w:pPr>
        <w:tabs>
          <w:tab w:val="num" w:pos="2880"/>
        </w:tabs>
        <w:ind w:left="2880" w:hanging="360"/>
      </w:pPr>
      <w:rPr>
        <w:rFonts w:ascii="Arial" w:hAnsi="Arial" w:hint="default"/>
      </w:rPr>
    </w:lvl>
    <w:lvl w:ilvl="4" w:tplc="EDA69B16" w:tentative="1">
      <w:start w:val="1"/>
      <w:numFmt w:val="bullet"/>
      <w:lvlText w:val="•"/>
      <w:lvlJc w:val="left"/>
      <w:pPr>
        <w:tabs>
          <w:tab w:val="num" w:pos="3600"/>
        </w:tabs>
        <w:ind w:left="3600" w:hanging="360"/>
      </w:pPr>
      <w:rPr>
        <w:rFonts w:ascii="Arial" w:hAnsi="Arial" w:hint="default"/>
      </w:rPr>
    </w:lvl>
    <w:lvl w:ilvl="5" w:tplc="15A60820" w:tentative="1">
      <w:start w:val="1"/>
      <w:numFmt w:val="bullet"/>
      <w:lvlText w:val="•"/>
      <w:lvlJc w:val="left"/>
      <w:pPr>
        <w:tabs>
          <w:tab w:val="num" w:pos="4320"/>
        </w:tabs>
        <w:ind w:left="4320" w:hanging="360"/>
      </w:pPr>
      <w:rPr>
        <w:rFonts w:ascii="Arial" w:hAnsi="Arial" w:hint="default"/>
      </w:rPr>
    </w:lvl>
    <w:lvl w:ilvl="6" w:tplc="1E840F88" w:tentative="1">
      <w:start w:val="1"/>
      <w:numFmt w:val="bullet"/>
      <w:lvlText w:val="•"/>
      <w:lvlJc w:val="left"/>
      <w:pPr>
        <w:tabs>
          <w:tab w:val="num" w:pos="5040"/>
        </w:tabs>
        <w:ind w:left="5040" w:hanging="360"/>
      </w:pPr>
      <w:rPr>
        <w:rFonts w:ascii="Arial" w:hAnsi="Arial" w:hint="default"/>
      </w:rPr>
    </w:lvl>
    <w:lvl w:ilvl="7" w:tplc="242ACEA4" w:tentative="1">
      <w:start w:val="1"/>
      <w:numFmt w:val="bullet"/>
      <w:lvlText w:val="•"/>
      <w:lvlJc w:val="left"/>
      <w:pPr>
        <w:tabs>
          <w:tab w:val="num" w:pos="5760"/>
        </w:tabs>
        <w:ind w:left="5760" w:hanging="360"/>
      </w:pPr>
      <w:rPr>
        <w:rFonts w:ascii="Arial" w:hAnsi="Arial" w:hint="default"/>
      </w:rPr>
    </w:lvl>
    <w:lvl w:ilvl="8" w:tplc="F85444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674AC6"/>
    <w:multiLevelType w:val="hybridMultilevel"/>
    <w:tmpl w:val="24F05564"/>
    <w:lvl w:ilvl="0" w:tplc="2EEA10F2">
      <w:start w:val="1"/>
      <w:numFmt w:val="lowerLetter"/>
      <w:lvlText w:val="%1)"/>
      <w:lvlJc w:val="left"/>
      <w:pPr>
        <w:ind w:left="360" w:hanging="360"/>
      </w:pPr>
      <w:rPr>
        <w:rFonts w:asciiTheme="minorHAnsi" w:hAnsiTheme="minorHAnsi" w:cstheme="minorHAnsi" w:hint="default"/>
        <w:color w:val="auto"/>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233B3D24"/>
    <w:multiLevelType w:val="hybridMultilevel"/>
    <w:tmpl w:val="B48E63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3900BBA"/>
    <w:multiLevelType w:val="hybridMultilevel"/>
    <w:tmpl w:val="1430EC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4337B7F"/>
    <w:multiLevelType w:val="multilevel"/>
    <w:tmpl w:val="0414001F"/>
    <w:numStyleLink w:val="Stil1"/>
  </w:abstractNum>
  <w:abstractNum w:abstractNumId="20" w15:restartNumberingAfterBreak="0">
    <w:nsid w:val="24F1798D"/>
    <w:multiLevelType w:val="hybridMultilevel"/>
    <w:tmpl w:val="0C4AACFE"/>
    <w:lvl w:ilvl="0" w:tplc="F34C38D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A2D30DD"/>
    <w:multiLevelType w:val="multilevel"/>
    <w:tmpl w:val="0414001F"/>
    <w:styleLink w:val="Sti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31259A"/>
    <w:multiLevelType w:val="hybridMultilevel"/>
    <w:tmpl w:val="C548EF3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03516AC"/>
    <w:multiLevelType w:val="hybridMultilevel"/>
    <w:tmpl w:val="34306CBE"/>
    <w:lvl w:ilvl="0" w:tplc="9E98AEC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13C74A3"/>
    <w:multiLevelType w:val="hybridMultilevel"/>
    <w:tmpl w:val="AF223B50"/>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5" w15:restartNumberingAfterBreak="0">
    <w:nsid w:val="314730E1"/>
    <w:multiLevelType w:val="hybridMultilevel"/>
    <w:tmpl w:val="2494CA8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1EF5766"/>
    <w:multiLevelType w:val="multilevel"/>
    <w:tmpl w:val="D80281E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81F2F31"/>
    <w:multiLevelType w:val="hybridMultilevel"/>
    <w:tmpl w:val="64207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24213C2"/>
    <w:multiLevelType w:val="hybridMultilevel"/>
    <w:tmpl w:val="6BF03C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27F51AF"/>
    <w:multiLevelType w:val="hybridMultilevel"/>
    <w:tmpl w:val="59B627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64D4A6F"/>
    <w:multiLevelType w:val="hybridMultilevel"/>
    <w:tmpl w:val="83EEA2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992320C"/>
    <w:multiLevelType w:val="multilevel"/>
    <w:tmpl w:val="40D47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5B0B93"/>
    <w:multiLevelType w:val="hybridMultilevel"/>
    <w:tmpl w:val="B1BE441A"/>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4AB59B7"/>
    <w:multiLevelType w:val="multilevel"/>
    <w:tmpl w:val="1FF692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B1324A"/>
    <w:multiLevelType w:val="hybridMultilevel"/>
    <w:tmpl w:val="E4C272DE"/>
    <w:lvl w:ilvl="0" w:tplc="0A28E8C2">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579B15C7"/>
    <w:multiLevelType w:val="hybridMultilevel"/>
    <w:tmpl w:val="6FA22B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6" w15:restartNumberingAfterBreak="0">
    <w:nsid w:val="57BF7EBF"/>
    <w:multiLevelType w:val="hybridMultilevel"/>
    <w:tmpl w:val="85C444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A566658"/>
    <w:multiLevelType w:val="hybridMultilevel"/>
    <w:tmpl w:val="B62AE3B2"/>
    <w:lvl w:ilvl="0" w:tplc="819019F2">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8" w15:restartNumberingAfterBreak="0">
    <w:nsid w:val="5D5B2EFB"/>
    <w:multiLevelType w:val="hybridMultilevel"/>
    <w:tmpl w:val="70F28690"/>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9" w15:restartNumberingAfterBreak="0">
    <w:nsid w:val="5F33650C"/>
    <w:multiLevelType w:val="hybridMultilevel"/>
    <w:tmpl w:val="8564C8AC"/>
    <w:lvl w:ilvl="0" w:tplc="F34C38D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2E94309"/>
    <w:multiLevelType w:val="hybridMultilevel"/>
    <w:tmpl w:val="E5360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4776D30"/>
    <w:multiLevelType w:val="hybridMultilevel"/>
    <w:tmpl w:val="30F8F2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78470EC"/>
    <w:multiLevelType w:val="hybridMultilevel"/>
    <w:tmpl w:val="9FF05D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689A36E9"/>
    <w:multiLevelType w:val="hybridMultilevel"/>
    <w:tmpl w:val="7C2662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C164DE6"/>
    <w:multiLevelType w:val="multilevel"/>
    <w:tmpl w:val="1FF692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413A3F"/>
    <w:multiLevelType w:val="multilevel"/>
    <w:tmpl w:val="AB44FD3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E2B3328"/>
    <w:multiLevelType w:val="hybridMultilevel"/>
    <w:tmpl w:val="9856AF3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7" w15:restartNumberingAfterBreak="0">
    <w:nsid w:val="6F4B4CC2"/>
    <w:multiLevelType w:val="hybridMultilevel"/>
    <w:tmpl w:val="168658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6FEF760C"/>
    <w:multiLevelType w:val="multilevel"/>
    <w:tmpl w:val="0414001F"/>
    <w:numStyleLink w:val="Stil1"/>
  </w:abstractNum>
  <w:abstractNum w:abstractNumId="49" w15:restartNumberingAfterBreak="0">
    <w:nsid w:val="7577247E"/>
    <w:multiLevelType w:val="multilevel"/>
    <w:tmpl w:val="D80281E2"/>
    <w:numStyleLink w:val="Stil2"/>
  </w:abstractNum>
  <w:abstractNum w:abstractNumId="50" w15:restartNumberingAfterBreak="0">
    <w:nsid w:val="75A16FC9"/>
    <w:multiLevelType w:val="hybridMultilevel"/>
    <w:tmpl w:val="74161026"/>
    <w:lvl w:ilvl="0" w:tplc="F89876D6">
      <w:start w:val="1"/>
      <w:numFmt w:val="bullet"/>
      <w:lvlText w:val="•"/>
      <w:lvlJc w:val="left"/>
      <w:pPr>
        <w:tabs>
          <w:tab w:val="num" w:pos="123"/>
        </w:tabs>
        <w:ind w:left="123" w:hanging="360"/>
      </w:pPr>
      <w:rPr>
        <w:rFonts w:ascii="Arial" w:hAnsi="Arial" w:hint="default"/>
      </w:rPr>
    </w:lvl>
    <w:lvl w:ilvl="1" w:tplc="89CCC60E" w:tentative="1">
      <w:start w:val="1"/>
      <w:numFmt w:val="bullet"/>
      <w:lvlText w:val="•"/>
      <w:lvlJc w:val="left"/>
      <w:pPr>
        <w:tabs>
          <w:tab w:val="num" w:pos="843"/>
        </w:tabs>
        <w:ind w:left="843" w:hanging="360"/>
      </w:pPr>
      <w:rPr>
        <w:rFonts w:ascii="Arial" w:hAnsi="Arial" w:hint="default"/>
      </w:rPr>
    </w:lvl>
    <w:lvl w:ilvl="2" w:tplc="BF98E3AC" w:tentative="1">
      <w:start w:val="1"/>
      <w:numFmt w:val="bullet"/>
      <w:lvlText w:val="•"/>
      <w:lvlJc w:val="left"/>
      <w:pPr>
        <w:tabs>
          <w:tab w:val="num" w:pos="1563"/>
        </w:tabs>
        <w:ind w:left="1563" w:hanging="360"/>
      </w:pPr>
      <w:rPr>
        <w:rFonts w:ascii="Arial" w:hAnsi="Arial" w:hint="default"/>
      </w:rPr>
    </w:lvl>
    <w:lvl w:ilvl="3" w:tplc="0110174C" w:tentative="1">
      <w:start w:val="1"/>
      <w:numFmt w:val="bullet"/>
      <w:lvlText w:val="•"/>
      <w:lvlJc w:val="left"/>
      <w:pPr>
        <w:tabs>
          <w:tab w:val="num" w:pos="2283"/>
        </w:tabs>
        <w:ind w:left="2283" w:hanging="360"/>
      </w:pPr>
      <w:rPr>
        <w:rFonts w:ascii="Arial" w:hAnsi="Arial" w:hint="default"/>
      </w:rPr>
    </w:lvl>
    <w:lvl w:ilvl="4" w:tplc="FEB647DC" w:tentative="1">
      <w:start w:val="1"/>
      <w:numFmt w:val="bullet"/>
      <w:lvlText w:val="•"/>
      <w:lvlJc w:val="left"/>
      <w:pPr>
        <w:tabs>
          <w:tab w:val="num" w:pos="3003"/>
        </w:tabs>
        <w:ind w:left="3003" w:hanging="360"/>
      </w:pPr>
      <w:rPr>
        <w:rFonts w:ascii="Arial" w:hAnsi="Arial" w:hint="default"/>
      </w:rPr>
    </w:lvl>
    <w:lvl w:ilvl="5" w:tplc="32C03922" w:tentative="1">
      <w:start w:val="1"/>
      <w:numFmt w:val="bullet"/>
      <w:lvlText w:val="•"/>
      <w:lvlJc w:val="left"/>
      <w:pPr>
        <w:tabs>
          <w:tab w:val="num" w:pos="3723"/>
        </w:tabs>
        <w:ind w:left="3723" w:hanging="360"/>
      </w:pPr>
      <w:rPr>
        <w:rFonts w:ascii="Arial" w:hAnsi="Arial" w:hint="default"/>
      </w:rPr>
    </w:lvl>
    <w:lvl w:ilvl="6" w:tplc="1A72E11E" w:tentative="1">
      <w:start w:val="1"/>
      <w:numFmt w:val="bullet"/>
      <w:lvlText w:val="•"/>
      <w:lvlJc w:val="left"/>
      <w:pPr>
        <w:tabs>
          <w:tab w:val="num" w:pos="4443"/>
        </w:tabs>
        <w:ind w:left="4443" w:hanging="360"/>
      </w:pPr>
      <w:rPr>
        <w:rFonts w:ascii="Arial" w:hAnsi="Arial" w:hint="default"/>
      </w:rPr>
    </w:lvl>
    <w:lvl w:ilvl="7" w:tplc="E1D2E706" w:tentative="1">
      <w:start w:val="1"/>
      <w:numFmt w:val="bullet"/>
      <w:lvlText w:val="•"/>
      <w:lvlJc w:val="left"/>
      <w:pPr>
        <w:tabs>
          <w:tab w:val="num" w:pos="5163"/>
        </w:tabs>
        <w:ind w:left="5163" w:hanging="360"/>
      </w:pPr>
      <w:rPr>
        <w:rFonts w:ascii="Arial" w:hAnsi="Arial" w:hint="default"/>
      </w:rPr>
    </w:lvl>
    <w:lvl w:ilvl="8" w:tplc="86B2F9F0" w:tentative="1">
      <w:start w:val="1"/>
      <w:numFmt w:val="bullet"/>
      <w:lvlText w:val="•"/>
      <w:lvlJc w:val="left"/>
      <w:pPr>
        <w:tabs>
          <w:tab w:val="num" w:pos="5883"/>
        </w:tabs>
        <w:ind w:left="5883" w:hanging="360"/>
      </w:pPr>
      <w:rPr>
        <w:rFonts w:ascii="Arial" w:hAnsi="Arial" w:hint="default"/>
      </w:rPr>
    </w:lvl>
  </w:abstractNum>
  <w:abstractNum w:abstractNumId="51" w15:restartNumberingAfterBreak="0">
    <w:nsid w:val="7B460249"/>
    <w:multiLevelType w:val="hybridMultilevel"/>
    <w:tmpl w:val="C8EA2F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22845929">
    <w:abstractNumId w:val="1"/>
  </w:num>
  <w:num w:numId="2" w16cid:durableId="1289169747">
    <w:abstractNumId w:val="4"/>
  </w:num>
  <w:num w:numId="3" w16cid:durableId="388840863">
    <w:abstractNumId w:val="47"/>
  </w:num>
  <w:num w:numId="4" w16cid:durableId="132261747">
    <w:abstractNumId w:val="23"/>
  </w:num>
  <w:num w:numId="5" w16cid:durableId="639117593">
    <w:abstractNumId w:val="31"/>
  </w:num>
  <w:num w:numId="6" w16cid:durableId="1841041325">
    <w:abstractNumId w:val="35"/>
  </w:num>
  <w:num w:numId="7" w16cid:durableId="1177890872">
    <w:abstractNumId w:val="7"/>
  </w:num>
  <w:num w:numId="8" w16cid:durableId="1618219724">
    <w:abstractNumId w:val="41"/>
  </w:num>
  <w:num w:numId="9" w16cid:durableId="430466564">
    <w:abstractNumId w:val="17"/>
  </w:num>
  <w:num w:numId="10" w16cid:durableId="1628274457">
    <w:abstractNumId w:val="30"/>
  </w:num>
  <w:num w:numId="11" w16cid:durableId="1979338460">
    <w:abstractNumId w:val="28"/>
  </w:num>
  <w:num w:numId="12" w16cid:durableId="49116280">
    <w:abstractNumId w:val="20"/>
  </w:num>
  <w:num w:numId="13" w16cid:durableId="1237059419">
    <w:abstractNumId w:val="39"/>
  </w:num>
  <w:num w:numId="14" w16cid:durableId="122382519">
    <w:abstractNumId w:val="11"/>
  </w:num>
  <w:num w:numId="15" w16cid:durableId="459609406">
    <w:abstractNumId w:val="19"/>
  </w:num>
  <w:num w:numId="16" w16cid:durableId="900094164">
    <w:abstractNumId w:val="21"/>
  </w:num>
  <w:num w:numId="17" w16cid:durableId="487213499">
    <w:abstractNumId w:val="48"/>
  </w:num>
  <w:num w:numId="18" w16cid:durableId="1893928931">
    <w:abstractNumId w:val="8"/>
  </w:num>
  <w:num w:numId="19" w16cid:durableId="1755055166">
    <w:abstractNumId w:val="33"/>
  </w:num>
  <w:num w:numId="20" w16cid:durableId="1018653569">
    <w:abstractNumId w:val="14"/>
  </w:num>
  <w:num w:numId="21" w16cid:durableId="2145853844">
    <w:abstractNumId w:val="44"/>
  </w:num>
  <w:num w:numId="22" w16cid:durableId="855654313">
    <w:abstractNumId w:val="10"/>
  </w:num>
  <w:num w:numId="23" w16cid:durableId="1269393016">
    <w:abstractNumId w:val="49"/>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b/>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4" w16cid:durableId="349647209">
    <w:abstractNumId w:val="50"/>
  </w:num>
  <w:num w:numId="25" w16cid:durableId="2032146187">
    <w:abstractNumId w:val="13"/>
  </w:num>
  <w:num w:numId="26" w16cid:durableId="785849359">
    <w:abstractNumId w:val="32"/>
  </w:num>
  <w:num w:numId="27" w16cid:durableId="1800486862">
    <w:abstractNumId w:val="25"/>
  </w:num>
  <w:num w:numId="28" w16cid:durableId="540094627">
    <w:abstractNumId w:val="29"/>
  </w:num>
  <w:num w:numId="29" w16cid:durableId="94323964">
    <w:abstractNumId w:val="34"/>
  </w:num>
  <w:num w:numId="30" w16cid:durableId="688604950">
    <w:abstractNumId w:val="2"/>
  </w:num>
  <w:num w:numId="31" w16cid:durableId="1881045631">
    <w:abstractNumId w:val="42"/>
  </w:num>
  <w:num w:numId="32" w16cid:durableId="1524827819">
    <w:abstractNumId w:val="37"/>
  </w:num>
  <w:num w:numId="33" w16cid:durableId="2090958551">
    <w:abstractNumId w:val="9"/>
  </w:num>
  <w:num w:numId="34" w16cid:durableId="838038295">
    <w:abstractNumId w:val="26"/>
  </w:num>
  <w:num w:numId="35" w16cid:durableId="32849558">
    <w:abstractNumId w:val="3"/>
  </w:num>
  <w:num w:numId="36" w16cid:durableId="333807102">
    <w:abstractNumId w:val="36"/>
  </w:num>
  <w:num w:numId="37" w16cid:durableId="1304777455">
    <w:abstractNumId w:val="6"/>
  </w:num>
  <w:num w:numId="38" w16cid:durableId="845285502">
    <w:abstractNumId w:val="38"/>
  </w:num>
  <w:num w:numId="39" w16cid:durableId="1272516827">
    <w:abstractNumId w:val="15"/>
  </w:num>
  <w:num w:numId="40" w16cid:durableId="2122265356">
    <w:abstractNumId w:val="12"/>
  </w:num>
  <w:num w:numId="41" w16cid:durableId="642396448">
    <w:abstractNumId w:val="43"/>
  </w:num>
  <w:num w:numId="42" w16cid:durableId="166484361">
    <w:abstractNumId w:val="18"/>
  </w:num>
  <w:num w:numId="43" w16cid:durableId="416630405">
    <w:abstractNumId w:val="0"/>
  </w:num>
  <w:num w:numId="44" w16cid:durableId="266470560">
    <w:abstractNumId w:val="51"/>
  </w:num>
  <w:num w:numId="45" w16cid:durableId="2132161040">
    <w:abstractNumId w:val="27"/>
  </w:num>
  <w:num w:numId="46" w16cid:durableId="1217081337">
    <w:abstractNumId w:val="22"/>
  </w:num>
  <w:num w:numId="47" w16cid:durableId="417479940">
    <w:abstractNumId w:val="16"/>
  </w:num>
  <w:num w:numId="48" w16cid:durableId="1678578678">
    <w:abstractNumId w:val="24"/>
  </w:num>
  <w:num w:numId="49" w16cid:durableId="255134413">
    <w:abstractNumId w:val="45"/>
  </w:num>
  <w:num w:numId="50" w16cid:durableId="1542742641">
    <w:abstractNumId w:val="46"/>
  </w:num>
  <w:num w:numId="51" w16cid:durableId="786125048">
    <w:abstractNumId w:val="40"/>
  </w:num>
  <w:num w:numId="52" w16cid:durableId="23235536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D8"/>
    <w:rsid w:val="00000479"/>
    <w:rsid w:val="00001029"/>
    <w:rsid w:val="00005640"/>
    <w:rsid w:val="00010A44"/>
    <w:rsid w:val="0001123C"/>
    <w:rsid w:val="00012F97"/>
    <w:rsid w:val="000203B9"/>
    <w:rsid w:val="00020542"/>
    <w:rsid w:val="000279E0"/>
    <w:rsid w:val="00032FC8"/>
    <w:rsid w:val="00035707"/>
    <w:rsid w:val="00040548"/>
    <w:rsid w:val="000408E6"/>
    <w:rsid w:val="000515E8"/>
    <w:rsid w:val="00057780"/>
    <w:rsid w:val="000621E4"/>
    <w:rsid w:val="0006607E"/>
    <w:rsid w:val="00070AA6"/>
    <w:rsid w:val="000737B1"/>
    <w:rsid w:val="00074688"/>
    <w:rsid w:val="0007480E"/>
    <w:rsid w:val="00074B01"/>
    <w:rsid w:val="00077A27"/>
    <w:rsid w:val="000825BF"/>
    <w:rsid w:val="0008268F"/>
    <w:rsid w:val="00082911"/>
    <w:rsid w:val="00082C87"/>
    <w:rsid w:val="00087E50"/>
    <w:rsid w:val="0009668E"/>
    <w:rsid w:val="00097A7E"/>
    <w:rsid w:val="000A0769"/>
    <w:rsid w:val="000A09E5"/>
    <w:rsid w:val="000B3CEA"/>
    <w:rsid w:val="000B5923"/>
    <w:rsid w:val="000B752D"/>
    <w:rsid w:val="000C1448"/>
    <w:rsid w:val="000C1577"/>
    <w:rsid w:val="000C2742"/>
    <w:rsid w:val="000C2F4A"/>
    <w:rsid w:val="000C48D4"/>
    <w:rsid w:val="000C7620"/>
    <w:rsid w:val="000C781C"/>
    <w:rsid w:val="000D5483"/>
    <w:rsid w:val="000F087D"/>
    <w:rsid w:val="000F0E22"/>
    <w:rsid w:val="000F23AE"/>
    <w:rsid w:val="000F2662"/>
    <w:rsid w:val="000F621E"/>
    <w:rsid w:val="001031AE"/>
    <w:rsid w:val="0010685F"/>
    <w:rsid w:val="0010727B"/>
    <w:rsid w:val="00107F4A"/>
    <w:rsid w:val="00112FB8"/>
    <w:rsid w:val="00125F4C"/>
    <w:rsid w:val="001272B0"/>
    <w:rsid w:val="001302AD"/>
    <w:rsid w:val="0013183E"/>
    <w:rsid w:val="00132866"/>
    <w:rsid w:val="001336C7"/>
    <w:rsid w:val="00134149"/>
    <w:rsid w:val="001359AC"/>
    <w:rsid w:val="00137E51"/>
    <w:rsid w:val="00141BE2"/>
    <w:rsid w:val="00151281"/>
    <w:rsid w:val="00151315"/>
    <w:rsid w:val="00152B3E"/>
    <w:rsid w:val="001540E4"/>
    <w:rsid w:val="0015521E"/>
    <w:rsid w:val="0015719E"/>
    <w:rsid w:val="001606CB"/>
    <w:rsid w:val="00162554"/>
    <w:rsid w:val="0016387E"/>
    <w:rsid w:val="001659CF"/>
    <w:rsid w:val="00174816"/>
    <w:rsid w:val="0018211D"/>
    <w:rsid w:val="00185327"/>
    <w:rsid w:val="00190EBF"/>
    <w:rsid w:val="00193168"/>
    <w:rsid w:val="001B32BD"/>
    <w:rsid w:val="001B4790"/>
    <w:rsid w:val="001B4D77"/>
    <w:rsid w:val="001B6D55"/>
    <w:rsid w:val="001B7A4A"/>
    <w:rsid w:val="001D6662"/>
    <w:rsid w:val="001E1AD8"/>
    <w:rsid w:val="001E580F"/>
    <w:rsid w:val="001E63FF"/>
    <w:rsid w:val="001F0241"/>
    <w:rsid w:val="001F5C56"/>
    <w:rsid w:val="00201E4F"/>
    <w:rsid w:val="002042C4"/>
    <w:rsid w:val="00206C64"/>
    <w:rsid w:val="00206D03"/>
    <w:rsid w:val="00210930"/>
    <w:rsid w:val="00222D5E"/>
    <w:rsid w:val="00224977"/>
    <w:rsid w:val="00226AC3"/>
    <w:rsid w:val="002322C3"/>
    <w:rsid w:val="002325C2"/>
    <w:rsid w:val="00235780"/>
    <w:rsid w:val="00237324"/>
    <w:rsid w:val="00237A16"/>
    <w:rsid w:val="002503B0"/>
    <w:rsid w:val="002519CA"/>
    <w:rsid w:val="00254E2D"/>
    <w:rsid w:val="00261EFB"/>
    <w:rsid w:val="002625FF"/>
    <w:rsid w:val="00263784"/>
    <w:rsid w:val="00263A0A"/>
    <w:rsid w:val="00264E0A"/>
    <w:rsid w:val="00270D44"/>
    <w:rsid w:val="0027743D"/>
    <w:rsid w:val="002778C3"/>
    <w:rsid w:val="00277CB7"/>
    <w:rsid w:val="00284166"/>
    <w:rsid w:val="00287CFE"/>
    <w:rsid w:val="00294645"/>
    <w:rsid w:val="0029715A"/>
    <w:rsid w:val="002A2082"/>
    <w:rsid w:val="002B5A57"/>
    <w:rsid w:val="002C224E"/>
    <w:rsid w:val="002C27D5"/>
    <w:rsid w:val="002C2D20"/>
    <w:rsid w:val="002C5405"/>
    <w:rsid w:val="002C67BC"/>
    <w:rsid w:val="002D3F6A"/>
    <w:rsid w:val="002D4398"/>
    <w:rsid w:val="002D5098"/>
    <w:rsid w:val="002E275F"/>
    <w:rsid w:val="002E7737"/>
    <w:rsid w:val="002F3046"/>
    <w:rsid w:val="002F50C0"/>
    <w:rsid w:val="002F5387"/>
    <w:rsid w:val="002F70B9"/>
    <w:rsid w:val="003004DD"/>
    <w:rsid w:val="00300D02"/>
    <w:rsid w:val="00304A69"/>
    <w:rsid w:val="0030507C"/>
    <w:rsid w:val="00310044"/>
    <w:rsid w:val="003101BA"/>
    <w:rsid w:val="003116F6"/>
    <w:rsid w:val="00316301"/>
    <w:rsid w:val="0031641F"/>
    <w:rsid w:val="00323730"/>
    <w:rsid w:val="00323947"/>
    <w:rsid w:val="00325BC2"/>
    <w:rsid w:val="00326965"/>
    <w:rsid w:val="00327D79"/>
    <w:rsid w:val="003310AF"/>
    <w:rsid w:val="00343991"/>
    <w:rsid w:val="00351B5E"/>
    <w:rsid w:val="00353250"/>
    <w:rsid w:val="0036022E"/>
    <w:rsid w:val="003609BD"/>
    <w:rsid w:val="00365B19"/>
    <w:rsid w:val="00371AC3"/>
    <w:rsid w:val="00373EA4"/>
    <w:rsid w:val="003740DE"/>
    <w:rsid w:val="00375028"/>
    <w:rsid w:val="0038695D"/>
    <w:rsid w:val="003913AF"/>
    <w:rsid w:val="00395B5C"/>
    <w:rsid w:val="003979F4"/>
    <w:rsid w:val="003A1BBE"/>
    <w:rsid w:val="003B1F3D"/>
    <w:rsid w:val="003B6291"/>
    <w:rsid w:val="003C0F5D"/>
    <w:rsid w:val="003C2330"/>
    <w:rsid w:val="003C2771"/>
    <w:rsid w:val="003C3108"/>
    <w:rsid w:val="003C7514"/>
    <w:rsid w:val="003C7921"/>
    <w:rsid w:val="003D220E"/>
    <w:rsid w:val="003D2B45"/>
    <w:rsid w:val="003D302C"/>
    <w:rsid w:val="003D33FA"/>
    <w:rsid w:val="003E0052"/>
    <w:rsid w:val="003E06BF"/>
    <w:rsid w:val="003E1B9C"/>
    <w:rsid w:val="003E7FC9"/>
    <w:rsid w:val="003F52A2"/>
    <w:rsid w:val="00400229"/>
    <w:rsid w:val="004010D4"/>
    <w:rsid w:val="00401CD2"/>
    <w:rsid w:val="00402B71"/>
    <w:rsid w:val="004071CA"/>
    <w:rsid w:val="00417243"/>
    <w:rsid w:val="00420141"/>
    <w:rsid w:val="00420A0E"/>
    <w:rsid w:val="00424C22"/>
    <w:rsid w:val="00426BC6"/>
    <w:rsid w:val="00431613"/>
    <w:rsid w:val="004331CE"/>
    <w:rsid w:val="00435078"/>
    <w:rsid w:val="00436E29"/>
    <w:rsid w:val="00441810"/>
    <w:rsid w:val="004470DD"/>
    <w:rsid w:val="00450040"/>
    <w:rsid w:val="00450CDC"/>
    <w:rsid w:val="00457669"/>
    <w:rsid w:val="00465582"/>
    <w:rsid w:val="00471206"/>
    <w:rsid w:val="00471991"/>
    <w:rsid w:val="00476394"/>
    <w:rsid w:val="00482D04"/>
    <w:rsid w:val="00485A5C"/>
    <w:rsid w:val="0048754E"/>
    <w:rsid w:val="00493499"/>
    <w:rsid w:val="00495FE1"/>
    <w:rsid w:val="004A088E"/>
    <w:rsid w:val="004A2400"/>
    <w:rsid w:val="004A37D1"/>
    <w:rsid w:val="004A4AF4"/>
    <w:rsid w:val="004B2603"/>
    <w:rsid w:val="004B52B7"/>
    <w:rsid w:val="004B5B25"/>
    <w:rsid w:val="004B78EA"/>
    <w:rsid w:val="004C578E"/>
    <w:rsid w:val="004D13A9"/>
    <w:rsid w:val="004D13C5"/>
    <w:rsid w:val="004D6682"/>
    <w:rsid w:val="004E1492"/>
    <w:rsid w:val="004E5069"/>
    <w:rsid w:val="004F2040"/>
    <w:rsid w:val="0050388A"/>
    <w:rsid w:val="00506DD6"/>
    <w:rsid w:val="00507B2E"/>
    <w:rsid w:val="00510248"/>
    <w:rsid w:val="005118B2"/>
    <w:rsid w:val="00512B74"/>
    <w:rsid w:val="00522C86"/>
    <w:rsid w:val="00523865"/>
    <w:rsid w:val="005242EE"/>
    <w:rsid w:val="00531857"/>
    <w:rsid w:val="005327BC"/>
    <w:rsid w:val="005327D8"/>
    <w:rsid w:val="00534335"/>
    <w:rsid w:val="00535AF6"/>
    <w:rsid w:val="0053698E"/>
    <w:rsid w:val="00537E53"/>
    <w:rsid w:val="00540CDE"/>
    <w:rsid w:val="00541CB3"/>
    <w:rsid w:val="00542639"/>
    <w:rsid w:val="005442BD"/>
    <w:rsid w:val="00545B70"/>
    <w:rsid w:val="005508AD"/>
    <w:rsid w:val="00555246"/>
    <w:rsid w:val="00556E42"/>
    <w:rsid w:val="005604F0"/>
    <w:rsid w:val="00561D91"/>
    <w:rsid w:val="005621D4"/>
    <w:rsid w:val="005630D1"/>
    <w:rsid w:val="00567855"/>
    <w:rsid w:val="005678F7"/>
    <w:rsid w:val="00570EBB"/>
    <w:rsid w:val="00584134"/>
    <w:rsid w:val="0058515D"/>
    <w:rsid w:val="005902EE"/>
    <w:rsid w:val="005958AE"/>
    <w:rsid w:val="005A0909"/>
    <w:rsid w:val="005B1E6B"/>
    <w:rsid w:val="005B21D1"/>
    <w:rsid w:val="005B43D5"/>
    <w:rsid w:val="005B7217"/>
    <w:rsid w:val="005B7FB6"/>
    <w:rsid w:val="005C10AC"/>
    <w:rsid w:val="005C5F98"/>
    <w:rsid w:val="005D205E"/>
    <w:rsid w:val="005D5A39"/>
    <w:rsid w:val="005D6BB5"/>
    <w:rsid w:val="005D7DCA"/>
    <w:rsid w:val="005E077D"/>
    <w:rsid w:val="005E0B92"/>
    <w:rsid w:val="005E0E43"/>
    <w:rsid w:val="005E39D6"/>
    <w:rsid w:val="005F21F6"/>
    <w:rsid w:val="005F2270"/>
    <w:rsid w:val="005F5AB4"/>
    <w:rsid w:val="005F5FE0"/>
    <w:rsid w:val="0060400F"/>
    <w:rsid w:val="00610AA1"/>
    <w:rsid w:val="0061471F"/>
    <w:rsid w:val="006168B2"/>
    <w:rsid w:val="006228B7"/>
    <w:rsid w:val="00623C15"/>
    <w:rsid w:val="00624C31"/>
    <w:rsid w:val="00625128"/>
    <w:rsid w:val="00633F49"/>
    <w:rsid w:val="00637D32"/>
    <w:rsid w:val="00640DDF"/>
    <w:rsid w:val="00643930"/>
    <w:rsid w:val="00645B40"/>
    <w:rsid w:val="00646401"/>
    <w:rsid w:val="00650678"/>
    <w:rsid w:val="00656D6C"/>
    <w:rsid w:val="00665AD9"/>
    <w:rsid w:val="00670A21"/>
    <w:rsid w:val="00671691"/>
    <w:rsid w:val="00672C72"/>
    <w:rsid w:val="0067617B"/>
    <w:rsid w:val="006803AD"/>
    <w:rsid w:val="00681693"/>
    <w:rsid w:val="0068292B"/>
    <w:rsid w:val="00690894"/>
    <w:rsid w:val="00691F72"/>
    <w:rsid w:val="006A0F73"/>
    <w:rsid w:val="006A333B"/>
    <w:rsid w:val="006A3880"/>
    <w:rsid w:val="006A4DA4"/>
    <w:rsid w:val="006A7E0D"/>
    <w:rsid w:val="006B2E0B"/>
    <w:rsid w:val="006B3BE4"/>
    <w:rsid w:val="006B57E3"/>
    <w:rsid w:val="006C54F3"/>
    <w:rsid w:val="006C7BA5"/>
    <w:rsid w:val="006D036B"/>
    <w:rsid w:val="006D0E76"/>
    <w:rsid w:val="006D2121"/>
    <w:rsid w:val="006E0DA0"/>
    <w:rsid w:val="006E2926"/>
    <w:rsid w:val="006F1845"/>
    <w:rsid w:val="006F4548"/>
    <w:rsid w:val="00710715"/>
    <w:rsid w:val="00711737"/>
    <w:rsid w:val="00711EA8"/>
    <w:rsid w:val="007123B8"/>
    <w:rsid w:val="00712F51"/>
    <w:rsid w:val="007158C4"/>
    <w:rsid w:val="00715C8D"/>
    <w:rsid w:val="007160EE"/>
    <w:rsid w:val="00720671"/>
    <w:rsid w:val="00723B30"/>
    <w:rsid w:val="00731F83"/>
    <w:rsid w:val="00735402"/>
    <w:rsid w:val="0073654B"/>
    <w:rsid w:val="007406D7"/>
    <w:rsid w:val="00742050"/>
    <w:rsid w:val="00743397"/>
    <w:rsid w:val="00753A23"/>
    <w:rsid w:val="00753DEC"/>
    <w:rsid w:val="00756E56"/>
    <w:rsid w:val="007575F7"/>
    <w:rsid w:val="00760DC5"/>
    <w:rsid w:val="00764879"/>
    <w:rsid w:val="007805E2"/>
    <w:rsid w:val="00781DA1"/>
    <w:rsid w:val="00782936"/>
    <w:rsid w:val="007853FB"/>
    <w:rsid w:val="00785F04"/>
    <w:rsid w:val="00790669"/>
    <w:rsid w:val="00790D53"/>
    <w:rsid w:val="00791357"/>
    <w:rsid w:val="00791B36"/>
    <w:rsid w:val="0079275D"/>
    <w:rsid w:val="007935B0"/>
    <w:rsid w:val="00795D84"/>
    <w:rsid w:val="00795DB0"/>
    <w:rsid w:val="00796355"/>
    <w:rsid w:val="007965E1"/>
    <w:rsid w:val="007979B4"/>
    <w:rsid w:val="007A01AF"/>
    <w:rsid w:val="007A031C"/>
    <w:rsid w:val="007A10E6"/>
    <w:rsid w:val="007A2D65"/>
    <w:rsid w:val="007B0309"/>
    <w:rsid w:val="007B1C0F"/>
    <w:rsid w:val="007B3854"/>
    <w:rsid w:val="007B7A39"/>
    <w:rsid w:val="007C1661"/>
    <w:rsid w:val="007D0EB1"/>
    <w:rsid w:val="007D2BC2"/>
    <w:rsid w:val="007D38F1"/>
    <w:rsid w:val="007D56B7"/>
    <w:rsid w:val="007D58CF"/>
    <w:rsid w:val="007E28C1"/>
    <w:rsid w:val="007E3C23"/>
    <w:rsid w:val="007E52BB"/>
    <w:rsid w:val="007F1512"/>
    <w:rsid w:val="007F28CE"/>
    <w:rsid w:val="007F57C2"/>
    <w:rsid w:val="007F7D87"/>
    <w:rsid w:val="007F7F13"/>
    <w:rsid w:val="00805D6A"/>
    <w:rsid w:val="008137A9"/>
    <w:rsid w:val="00813A99"/>
    <w:rsid w:val="00817C72"/>
    <w:rsid w:val="008237CA"/>
    <w:rsid w:val="008240D7"/>
    <w:rsid w:val="0082651D"/>
    <w:rsid w:val="00831884"/>
    <w:rsid w:val="00845112"/>
    <w:rsid w:val="008540F0"/>
    <w:rsid w:val="00862B44"/>
    <w:rsid w:val="00864AC4"/>
    <w:rsid w:val="00871136"/>
    <w:rsid w:val="00872B22"/>
    <w:rsid w:val="00881966"/>
    <w:rsid w:val="00886DFA"/>
    <w:rsid w:val="00890489"/>
    <w:rsid w:val="0089392D"/>
    <w:rsid w:val="008956D0"/>
    <w:rsid w:val="0089637D"/>
    <w:rsid w:val="008A3367"/>
    <w:rsid w:val="008B06F6"/>
    <w:rsid w:val="008B18B1"/>
    <w:rsid w:val="008C0DF3"/>
    <w:rsid w:val="008C11C5"/>
    <w:rsid w:val="008C5B90"/>
    <w:rsid w:val="008C6330"/>
    <w:rsid w:val="008C6B89"/>
    <w:rsid w:val="008D1858"/>
    <w:rsid w:val="008D2B66"/>
    <w:rsid w:val="008D329B"/>
    <w:rsid w:val="008D419D"/>
    <w:rsid w:val="008E3CAD"/>
    <w:rsid w:val="008E5FB8"/>
    <w:rsid w:val="008E6E72"/>
    <w:rsid w:val="008F0735"/>
    <w:rsid w:val="0090240E"/>
    <w:rsid w:val="00903236"/>
    <w:rsid w:val="00904BA5"/>
    <w:rsid w:val="009128F4"/>
    <w:rsid w:val="009135AF"/>
    <w:rsid w:val="00914385"/>
    <w:rsid w:val="00914EC3"/>
    <w:rsid w:val="009157BB"/>
    <w:rsid w:val="00917DA9"/>
    <w:rsid w:val="009269FE"/>
    <w:rsid w:val="00926B98"/>
    <w:rsid w:val="00927370"/>
    <w:rsid w:val="0092769A"/>
    <w:rsid w:val="00927C24"/>
    <w:rsid w:val="009308A0"/>
    <w:rsid w:val="00931EC9"/>
    <w:rsid w:val="00933F67"/>
    <w:rsid w:val="009344B1"/>
    <w:rsid w:val="00934F92"/>
    <w:rsid w:val="009355B9"/>
    <w:rsid w:val="009362B7"/>
    <w:rsid w:val="00937B82"/>
    <w:rsid w:val="00942757"/>
    <w:rsid w:val="00944ADA"/>
    <w:rsid w:val="00946755"/>
    <w:rsid w:val="00946BDC"/>
    <w:rsid w:val="00953BE7"/>
    <w:rsid w:val="009544AF"/>
    <w:rsid w:val="009546D3"/>
    <w:rsid w:val="00957A61"/>
    <w:rsid w:val="009633AD"/>
    <w:rsid w:val="009639BA"/>
    <w:rsid w:val="009671B6"/>
    <w:rsid w:val="00970F23"/>
    <w:rsid w:val="0098215A"/>
    <w:rsid w:val="00982EEE"/>
    <w:rsid w:val="00990B56"/>
    <w:rsid w:val="00991100"/>
    <w:rsid w:val="00991DA5"/>
    <w:rsid w:val="0099335C"/>
    <w:rsid w:val="00995A06"/>
    <w:rsid w:val="009A0E8B"/>
    <w:rsid w:val="009A1A0A"/>
    <w:rsid w:val="009A531C"/>
    <w:rsid w:val="009B3223"/>
    <w:rsid w:val="009B3228"/>
    <w:rsid w:val="009B7693"/>
    <w:rsid w:val="009C0351"/>
    <w:rsid w:val="009C38D5"/>
    <w:rsid w:val="009D0BD3"/>
    <w:rsid w:val="009D2318"/>
    <w:rsid w:val="009D5157"/>
    <w:rsid w:val="009E45C1"/>
    <w:rsid w:val="009E5C9A"/>
    <w:rsid w:val="009F2D0D"/>
    <w:rsid w:val="009F3E50"/>
    <w:rsid w:val="009F42A5"/>
    <w:rsid w:val="009F4FCC"/>
    <w:rsid w:val="00A004B4"/>
    <w:rsid w:val="00A02480"/>
    <w:rsid w:val="00A04DB3"/>
    <w:rsid w:val="00A15C4E"/>
    <w:rsid w:val="00A1670F"/>
    <w:rsid w:val="00A16B15"/>
    <w:rsid w:val="00A203CE"/>
    <w:rsid w:val="00A21713"/>
    <w:rsid w:val="00A23AAC"/>
    <w:rsid w:val="00A3094F"/>
    <w:rsid w:val="00A3128B"/>
    <w:rsid w:val="00A34744"/>
    <w:rsid w:val="00A34E33"/>
    <w:rsid w:val="00A3621C"/>
    <w:rsid w:val="00A413D8"/>
    <w:rsid w:val="00A42565"/>
    <w:rsid w:val="00A42FA1"/>
    <w:rsid w:val="00A51565"/>
    <w:rsid w:val="00A56AB0"/>
    <w:rsid w:val="00A56ACC"/>
    <w:rsid w:val="00A57776"/>
    <w:rsid w:val="00A724BF"/>
    <w:rsid w:val="00A726DC"/>
    <w:rsid w:val="00A73A7E"/>
    <w:rsid w:val="00A74204"/>
    <w:rsid w:val="00A76C92"/>
    <w:rsid w:val="00A866BB"/>
    <w:rsid w:val="00A928C7"/>
    <w:rsid w:val="00A945B7"/>
    <w:rsid w:val="00A970D1"/>
    <w:rsid w:val="00AB331C"/>
    <w:rsid w:val="00AB61C0"/>
    <w:rsid w:val="00AC1B5E"/>
    <w:rsid w:val="00AC4AB9"/>
    <w:rsid w:val="00AD4F49"/>
    <w:rsid w:val="00AD5961"/>
    <w:rsid w:val="00AD673A"/>
    <w:rsid w:val="00AE30EB"/>
    <w:rsid w:val="00AE745B"/>
    <w:rsid w:val="00AF10FC"/>
    <w:rsid w:val="00AF2043"/>
    <w:rsid w:val="00AF5B62"/>
    <w:rsid w:val="00B012D1"/>
    <w:rsid w:val="00B027AF"/>
    <w:rsid w:val="00B05F97"/>
    <w:rsid w:val="00B0732E"/>
    <w:rsid w:val="00B07A6B"/>
    <w:rsid w:val="00B114A5"/>
    <w:rsid w:val="00B11A8A"/>
    <w:rsid w:val="00B13A24"/>
    <w:rsid w:val="00B31290"/>
    <w:rsid w:val="00B32AD4"/>
    <w:rsid w:val="00B368BA"/>
    <w:rsid w:val="00B36948"/>
    <w:rsid w:val="00B50DD9"/>
    <w:rsid w:val="00B55297"/>
    <w:rsid w:val="00B55B10"/>
    <w:rsid w:val="00B55F76"/>
    <w:rsid w:val="00B57DA4"/>
    <w:rsid w:val="00B62A99"/>
    <w:rsid w:val="00B63C5A"/>
    <w:rsid w:val="00B71020"/>
    <w:rsid w:val="00B71A71"/>
    <w:rsid w:val="00B72C60"/>
    <w:rsid w:val="00B76AD7"/>
    <w:rsid w:val="00B8173B"/>
    <w:rsid w:val="00B8251B"/>
    <w:rsid w:val="00B9140D"/>
    <w:rsid w:val="00B925A9"/>
    <w:rsid w:val="00B9533C"/>
    <w:rsid w:val="00B9563C"/>
    <w:rsid w:val="00B96EF5"/>
    <w:rsid w:val="00B970FB"/>
    <w:rsid w:val="00BA1648"/>
    <w:rsid w:val="00BA2C91"/>
    <w:rsid w:val="00BB3415"/>
    <w:rsid w:val="00BC04CF"/>
    <w:rsid w:val="00BC14B8"/>
    <w:rsid w:val="00BC31EA"/>
    <w:rsid w:val="00BC3CEA"/>
    <w:rsid w:val="00BC4853"/>
    <w:rsid w:val="00BD0762"/>
    <w:rsid w:val="00BD3783"/>
    <w:rsid w:val="00BD4A6C"/>
    <w:rsid w:val="00BD5602"/>
    <w:rsid w:val="00BD61F0"/>
    <w:rsid w:val="00BE0149"/>
    <w:rsid w:val="00BE1727"/>
    <w:rsid w:val="00BE259B"/>
    <w:rsid w:val="00BE7EB6"/>
    <w:rsid w:val="00BF02D9"/>
    <w:rsid w:val="00BF182E"/>
    <w:rsid w:val="00BF351A"/>
    <w:rsid w:val="00C00200"/>
    <w:rsid w:val="00C053F7"/>
    <w:rsid w:val="00C06B0A"/>
    <w:rsid w:val="00C10F2B"/>
    <w:rsid w:val="00C11AD8"/>
    <w:rsid w:val="00C2268F"/>
    <w:rsid w:val="00C2437D"/>
    <w:rsid w:val="00C25BA6"/>
    <w:rsid w:val="00C27AE6"/>
    <w:rsid w:val="00C3004D"/>
    <w:rsid w:val="00C305AA"/>
    <w:rsid w:val="00C40406"/>
    <w:rsid w:val="00C42012"/>
    <w:rsid w:val="00C43ADE"/>
    <w:rsid w:val="00C44F25"/>
    <w:rsid w:val="00C4792A"/>
    <w:rsid w:val="00C50002"/>
    <w:rsid w:val="00C5144F"/>
    <w:rsid w:val="00C630D1"/>
    <w:rsid w:val="00C66EEE"/>
    <w:rsid w:val="00C733CB"/>
    <w:rsid w:val="00C75C7E"/>
    <w:rsid w:val="00C76C3D"/>
    <w:rsid w:val="00C80869"/>
    <w:rsid w:val="00C81BA8"/>
    <w:rsid w:val="00C8326C"/>
    <w:rsid w:val="00C83C80"/>
    <w:rsid w:val="00C8462C"/>
    <w:rsid w:val="00C85B61"/>
    <w:rsid w:val="00C901F2"/>
    <w:rsid w:val="00C9059D"/>
    <w:rsid w:val="00C9076B"/>
    <w:rsid w:val="00CA1053"/>
    <w:rsid w:val="00CA29D2"/>
    <w:rsid w:val="00CA38D1"/>
    <w:rsid w:val="00CB0C5C"/>
    <w:rsid w:val="00CB4DF7"/>
    <w:rsid w:val="00CB6590"/>
    <w:rsid w:val="00CB6EF1"/>
    <w:rsid w:val="00CC04CC"/>
    <w:rsid w:val="00CC18CF"/>
    <w:rsid w:val="00CC357C"/>
    <w:rsid w:val="00CC45BC"/>
    <w:rsid w:val="00CC5543"/>
    <w:rsid w:val="00CD0354"/>
    <w:rsid w:val="00CD560B"/>
    <w:rsid w:val="00CD562C"/>
    <w:rsid w:val="00CD7D83"/>
    <w:rsid w:val="00CE1577"/>
    <w:rsid w:val="00CE2F5F"/>
    <w:rsid w:val="00CE487B"/>
    <w:rsid w:val="00CF00E9"/>
    <w:rsid w:val="00CF5A54"/>
    <w:rsid w:val="00D0024A"/>
    <w:rsid w:val="00D06048"/>
    <w:rsid w:val="00D064CB"/>
    <w:rsid w:val="00D07CF9"/>
    <w:rsid w:val="00D10B41"/>
    <w:rsid w:val="00D136FE"/>
    <w:rsid w:val="00D24F6D"/>
    <w:rsid w:val="00D25B52"/>
    <w:rsid w:val="00D31795"/>
    <w:rsid w:val="00D33E4E"/>
    <w:rsid w:val="00D428C5"/>
    <w:rsid w:val="00D44FB5"/>
    <w:rsid w:val="00D45B77"/>
    <w:rsid w:val="00D46EA8"/>
    <w:rsid w:val="00D4712F"/>
    <w:rsid w:val="00D47572"/>
    <w:rsid w:val="00D54809"/>
    <w:rsid w:val="00D612F7"/>
    <w:rsid w:val="00D626F4"/>
    <w:rsid w:val="00D70352"/>
    <w:rsid w:val="00D70D8A"/>
    <w:rsid w:val="00D710A3"/>
    <w:rsid w:val="00D8138C"/>
    <w:rsid w:val="00D82878"/>
    <w:rsid w:val="00D82B79"/>
    <w:rsid w:val="00D82C4A"/>
    <w:rsid w:val="00D9150A"/>
    <w:rsid w:val="00D93F24"/>
    <w:rsid w:val="00D947CA"/>
    <w:rsid w:val="00D94A5F"/>
    <w:rsid w:val="00D95559"/>
    <w:rsid w:val="00D9733C"/>
    <w:rsid w:val="00DA3A74"/>
    <w:rsid w:val="00DA7FDC"/>
    <w:rsid w:val="00DB10A2"/>
    <w:rsid w:val="00DC28AE"/>
    <w:rsid w:val="00DC30E2"/>
    <w:rsid w:val="00DC368D"/>
    <w:rsid w:val="00DC435C"/>
    <w:rsid w:val="00DE0F62"/>
    <w:rsid w:val="00DE6D7C"/>
    <w:rsid w:val="00DE7646"/>
    <w:rsid w:val="00DF2D5E"/>
    <w:rsid w:val="00DF3842"/>
    <w:rsid w:val="00DF61B5"/>
    <w:rsid w:val="00E0198B"/>
    <w:rsid w:val="00E032F1"/>
    <w:rsid w:val="00E05595"/>
    <w:rsid w:val="00E123F7"/>
    <w:rsid w:val="00E13414"/>
    <w:rsid w:val="00E143E9"/>
    <w:rsid w:val="00E16FBD"/>
    <w:rsid w:val="00E174E2"/>
    <w:rsid w:val="00E2045E"/>
    <w:rsid w:val="00E21C73"/>
    <w:rsid w:val="00E2710F"/>
    <w:rsid w:val="00E37D49"/>
    <w:rsid w:val="00E42D95"/>
    <w:rsid w:val="00E42DB4"/>
    <w:rsid w:val="00E43BBE"/>
    <w:rsid w:val="00E4517B"/>
    <w:rsid w:val="00E47B99"/>
    <w:rsid w:val="00E51640"/>
    <w:rsid w:val="00E55C0B"/>
    <w:rsid w:val="00E62047"/>
    <w:rsid w:val="00E64506"/>
    <w:rsid w:val="00E65E8B"/>
    <w:rsid w:val="00E6607F"/>
    <w:rsid w:val="00E72D2F"/>
    <w:rsid w:val="00E754EA"/>
    <w:rsid w:val="00E7579C"/>
    <w:rsid w:val="00E76F45"/>
    <w:rsid w:val="00E77D6F"/>
    <w:rsid w:val="00E8577A"/>
    <w:rsid w:val="00E8667D"/>
    <w:rsid w:val="00E87B43"/>
    <w:rsid w:val="00E90DA1"/>
    <w:rsid w:val="00E96326"/>
    <w:rsid w:val="00E97E7F"/>
    <w:rsid w:val="00EB310C"/>
    <w:rsid w:val="00EB4900"/>
    <w:rsid w:val="00EB4969"/>
    <w:rsid w:val="00EB4F47"/>
    <w:rsid w:val="00EB5D18"/>
    <w:rsid w:val="00EB71F5"/>
    <w:rsid w:val="00EC5D57"/>
    <w:rsid w:val="00ED0FF8"/>
    <w:rsid w:val="00ED1535"/>
    <w:rsid w:val="00ED21AB"/>
    <w:rsid w:val="00ED3790"/>
    <w:rsid w:val="00ED75DE"/>
    <w:rsid w:val="00EE4DC3"/>
    <w:rsid w:val="00EF378F"/>
    <w:rsid w:val="00EF5D01"/>
    <w:rsid w:val="00EF66A0"/>
    <w:rsid w:val="00EF75BA"/>
    <w:rsid w:val="00F05A93"/>
    <w:rsid w:val="00F20377"/>
    <w:rsid w:val="00F22A34"/>
    <w:rsid w:val="00F22C93"/>
    <w:rsid w:val="00F24528"/>
    <w:rsid w:val="00F37DE6"/>
    <w:rsid w:val="00F403E4"/>
    <w:rsid w:val="00F40EBF"/>
    <w:rsid w:val="00F42476"/>
    <w:rsid w:val="00F4631B"/>
    <w:rsid w:val="00F46C61"/>
    <w:rsid w:val="00F50A43"/>
    <w:rsid w:val="00F56394"/>
    <w:rsid w:val="00F56C10"/>
    <w:rsid w:val="00F56D84"/>
    <w:rsid w:val="00F57242"/>
    <w:rsid w:val="00F57329"/>
    <w:rsid w:val="00F61EBA"/>
    <w:rsid w:val="00F63501"/>
    <w:rsid w:val="00F63A76"/>
    <w:rsid w:val="00F70C85"/>
    <w:rsid w:val="00F71F55"/>
    <w:rsid w:val="00F7317A"/>
    <w:rsid w:val="00F7671F"/>
    <w:rsid w:val="00F77B3F"/>
    <w:rsid w:val="00F94638"/>
    <w:rsid w:val="00F94AA0"/>
    <w:rsid w:val="00FA0CFA"/>
    <w:rsid w:val="00FA0E08"/>
    <w:rsid w:val="00FA5AA0"/>
    <w:rsid w:val="00FB2466"/>
    <w:rsid w:val="00FB6D86"/>
    <w:rsid w:val="00FC4A8B"/>
    <w:rsid w:val="00FC7248"/>
    <w:rsid w:val="00FE0471"/>
    <w:rsid w:val="00FE4A5E"/>
    <w:rsid w:val="00FE4E65"/>
    <w:rsid w:val="00FE5C6B"/>
    <w:rsid w:val="00FE5CAE"/>
    <w:rsid w:val="00FF1795"/>
    <w:rsid w:val="00FF6B93"/>
    <w:rsid w:val="06C947E4"/>
    <w:rsid w:val="1268772F"/>
    <w:rsid w:val="1AE49FCB"/>
    <w:rsid w:val="2016E23B"/>
    <w:rsid w:val="262002DF"/>
    <w:rsid w:val="2702926F"/>
    <w:rsid w:val="28257F58"/>
    <w:rsid w:val="46D54BE2"/>
    <w:rsid w:val="530213E2"/>
    <w:rsid w:val="5663A662"/>
    <w:rsid w:val="61515D21"/>
    <w:rsid w:val="7625745A"/>
    <w:rsid w:val="7B05C8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09494"/>
  <w15:chartTrackingRefBased/>
  <w15:docId w15:val="{D423A420-FA7F-432A-9E46-762BFDC0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9CF"/>
    <w:pPr>
      <w:spacing w:after="100" w:afterAutospacing="1"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C11AD8"/>
    <w:pPr>
      <w:keepNext/>
      <w:spacing w:before="960"/>
      <w:outlineLvl w:val="0"/>
    </w:pPr>
    <w:rPr>
      <w:b/>
      <w:smallCaps/>
      <w:sz w:val="40"/>
    </w:rPr>
  </w:style>
  <w:style w:type="paragraph" w:styleId="Overskrift2">
    <w:name w:val="heading 2"/>
    <w:basedOn w:val="Normal"/>
    <w:next w:val="Normal"/>
    <w:link w:val="Overskrift2Tegn"/>
    <w:uiPriority w:val="9"/>
    <w:unhideWhenUsed/>
    <w:qFormat/>
    <w:rsid w:val="00431613"/>
    <w:pPr>
      <w:keepNext/>
      <w:keepLines/>
      <w:spacing w:before="40" w:after="0"/>
      <w:outlineLvl w:val="1"/>
    </w:pPr>
    <w:rPr>
      <w:rFonts w:eastAsiaTheme="majorEastAsia" w:cstheme="majorBidi"/>
      <w:b/>
      <w:sz w:val="32"/>
      <w:szCs w:val="26"/>
    </w:rPr>
  </w:style>
  <w:style w:type="paragraph" w:styleId="Overskrift3">
    <w:name w:val="heading 3"/>
    <w:basedOn w:val="Normal"/>
    <w:next w:val="Normal"/>
    <w:link w:val="Overskrift3Tegn"/>
    <w:uiPriority w:val="9"/>
    <w:unhideWhenUsed/>
    <w:qFormat/>
    <w:rsid w:val="00CD0354"/>
    <w:pPr>
      <w:keepNext/>
      <w:keepLines/>
      <w:spacing w:before="360" w:after="0" w:afterAutospacing="0"/>
      <w:outlineLvl w:val="2"/>
    </w:pPr>
    <w:rPr>
      <w:rFonts w:eastAsiaTheme="majorEastAsia" w:cstheme="majorBidi"/>
      <w:b/>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autoRedefine/>
    <w:uiPriority w:val="99"/>
    <w:unhideWhenUsed/>
    <w:qFormat/>
    <w:rsid w:val="00077A27"/>
    <w:pPr>
      <w:spacing w:after="0"/>
      <w:contextualSpacing/>
    </w:pPr>
    <w:rPr>
      <w:sz w:val="20"/>
    </w:rPr>
  </w:style>
  <w:style w:type="character" w:customStyle="1" w:styleId="FotnotetekstTegn">
    <w:name w:val="Fotnotetekst Tegn"/>
    <w:basedOn w:val="Standardskriftforavsnitt"/>
    <w:link w:val="Fotnotetekst"/>
    <w:uiPriority w:val="99"/>
    <w:rsid w:val="00077A27"/>
    <w:rPr>
      <w:rFonts w:ascii="Times New Roman" w:eastAsia="Times New Roman" w:hAnsi="Times New Roman" w:cs="Times New Roman"/>
      <w:sz w:val="20"/>
      <w:szCs w:val="20"/>
      <w:lang w:eastAsia="nb-NO"/>
    </w:rPr>
  </w:style>
  <w:style w:type="paragraph" w:styleId="Undertittel">
    <w:name w:val="Subtitle"/>
    <w:basedOn w:val="Normal"/>
    <w:next w:val="Normal"/>
    <w:link w:val="UndertittelTegn"/>
    <w:uiPriority w:val="11"/>
    <w:qFormat/>
    <w:rsid w:val="00CC04CC"/>
    <w:pPr>
      <w:numPr>
        <w:ilvl w:val="1"/>
      </w:numPr>
      <w:spacing w:before="24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CC04CC"/>
    <w:rPr>
      <w:rFonts w:eastAsiaTheme="minorEastAsia"/>
      <w:color w:val="5A5A5A" w:themeColor="text1" w:themeTint="A5"/>
      <w:spacing w:val="15"/>
    </w:rPr>
  </w:style>
  <w:style w:type="paragraph" w:styleId="Sitat">
    <w:name w:val="Quote"/>
    <w:basedOn w:val="Normal"/>
    <w:next w:val="Normal"/>
    <w:link w:val="SitatTegn"/>
    <w:uiPriority w:val="29"/>
    <w:qFormat/>
    <w:rsid w:val="007123B8"/>
    <w:pPr>
      <w:spacing w:before="200"/>
      <w:ind w:left="862" w:right="862"/>
    </w:pPr>
    <w:rPr>
      <w:iCs/>
      <w:color w:val="404040" w:themeColor="text1" w:themeTint="BF"/>
      <w:sz w:val="22"/>
    </w:rPr>
  </w:style>
  <w:style w:type="character" w:customStyle="1" w:styleId="SitatTegn">
    <w:name w:val="Sitat Tegn"/>
    <w:basedOn w:val="Standardskriftforavsnitt"/>
    <w:link w:val="Sitat"/>
    <w:uiPriority w:val="29"/>
    <w:rsid w:val="007123B8"/>
    <w:rPr>
      <w:rFonts w:ascii="Times New Roman" w:hAnsi="Times New Roman"/>
      <w:iCs/>
      <w:color w:val="404040" w:themeColor="text1" w:themeTint="BF"/>
    </w:rPr>
  </w:style>
  <w:style w:type="character" w:customStyle="1" w:styleId="Overskrift1Tegn">
    <w:name w:val="Overskrift 1 Tegn"/>
    <w:basedOn w:val="Standardskriftforavsnitt"/>
    <w:link w:val="Overskrift1"/>
    <w:rsid w:val="00C11AD8"/>
    <w:rPr>
      <w:rFonts w:ascii="Times New Roman" w:eastAsia="Times New Roman" w:hAnsi="Times New Roman" w:cs="Times New Roman"/>
      <w:b/>
      <w:smallCaps/>
      <w:sz w:val="40"/>
      <w:szCs w:val="20"/>
      <w:lang w:eastAsia="nb-NO"/>
    </w:rPr>
  </w:style>
  <w:style w:type="table" w:styleId="Tabellrutenett">
    <w:name w:val="Table Grid"/>
    <w:basedOn w:val="Vanligtabell"/>
    <w:rsid w:val="00C11AD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11AD8"/>
    <w:pPr>
      <w:ind w:left="720"/>
      <w:contextualSpacing/>
    </w:pPr>
  </w:style>
  <w:style w:type="character" w:customStyle="1" w:styleId="Overskrift2Tegn">
    <w:name w:val="Overskrift 2 Tegn"/>
    <w:basedOn w:val="Standardskriftforavsnitt"/>
    <w:link w:val="Overskrift2"/>
    <w:uiPriority w:val="9"/>
    <w:rsid w:val="00431613"/>
    <w:rPr>
      <w:rFonts w:ascii="Times New Roman" w:eastAsiaTheme="majorEastAsia" w:hAnsi="Times New Roman" w:cstheme="majorBidi"/>
      <w:b/>
      <w:sz w:val="32"/>
      <w:szCs w:val="26"/>
      <w:lang w:eastAsia="nb-NO"/>
    </w:rPr>
  </w:style>
  <w:style w:type="character" w:customStyle="1" w:styleId="Overskrift3Tegn">
    <w:name w:val="Overskrift 3 Tegn"/>
    <w:basedOn w:val="Standardskriftforavsnitt"/>
    <w:link w:val="Overskrift3"/>
    <w:uiPriority w:val="9"/>
    <w:rsid w:val="00CD0354"/>
    <w:rPr>
      <w:rFonts w:ascii="Times New Roman" w:eastAsiaTheme="majorEastAsia" w:hAnsi="Times New Roman" w:cstheme="majorBidi"/>
      <w:b/>
      <w:sz w:val="24"/>
      <w:szCs w:val="24"/>
      <w:lang w:eastAsia="nb-NO"/>
    </w:rPr>
  </w:style>
  <w:style w:type="character" w:styleId="Merknadsreferanse">
    <w:name w:val="annotation reference"/>
    <w:basedOn w:val="Standardskriftforavsnitt"/>
    <w:uiPriority w:val="99"/>
    <w:semiHidden/>
    <w:unhideWhenUsed/>
    <w:rsid w:val="009544AF"/>
    <w:rPr>
      <w:sz w:val="16"/>
      <w:szCs w:val="16"/>
    </w:rPr>
  </w:style>
  <w:style w:type="paragraph" w:styleId="Merknadstekst">
    <w:name w:val="annotation text"/>
    <w:basedOn w:val="Normal"/>
    <w:link w:val="MerknadstekstTegn"/>
    <w:uiPriority w:val="99"/>
    <w:unhideWhenUsed/>
    <w:rsid w:val="009544AF"/>
    <w:rPr>
      <w:sz w:val="20"/>
    </w:rPr>
  </w:style>
  <w:style w:type="character" w:customStyle="1" w:styleId="MerknadstekstTegn">
    <w:name w:val="Merknadstekst Tegn"/>
    <w:basedOn w:val="Standardskriftforavsnitt"/>
    <w:link w:val="Merknadstekst"/>
    <w:uiPriority w:val="99"/>
    <w:rsid w:val="009544AF"/>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9544AF"/>
    <w:rPr>
      <w:b/>
      <w:bCs/>
    </w:rPr>
  </w:style>
  <w:style w:type="character" w:customStyle="1" w:styleId="KommentaremneTegn">
    <w:name w:val="Kommentaremne Tegn"/>
    <w:basedOn w:val="MerknadstekstTegn"/>
    <w:link w:val="Kommentaremne"/>
    <w:uiPriority w:val="99"/>
    <w:semiHidden/>
    <w:rsid w:val="009544AF"/>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9544AF"/>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544AF"/>
    <w:rPr>
      <w:rFonts w:ascii="Segoe UI" w:eastAsia="Times New Roman" w:hAnsi="Segoe UI" w:cs="Segoe UI"/>
      <w:sz w:val="18"/>
      <w:szCs w:val="18"/>
      <w:lang w:eastAsia="nb-NO"/>
    </w:rPr>
  </w:style>
  <w:style w:type="character" w:styleId="Fotnotereferanse">
    <w:name w:val="footnote reference"/>
    <w:basedOn w:val="Standardskriftforavsnitt"/>
    <w:uiPriority w:val="99"/>
    <w:semiHidden/>
    <w:unhideWhenUsed/>
    <w:rsid w:val="00D45B77"/>
    <w:rPr>
      <w:vertAlign w:val="superscript"/>
    </w:rPr>
  </w:style>
  <w:style w:type="paragraph" w:styleId="Overskriftforinnholdsfortegnelse">
    <w:name w:val="TOC Heading"/>
    <w:basedOn w:val="Overskrift1"/>
    <w:next w:val="Normal"/>
    <w:uiPriority w:val="39"/>
    <w:unhideWhenUsed/>
    <w:qFormat/>
    <w:rsid w:val="00087E50"/>
    <w:pPr>
      <w:keepLines/>
      <w:spacing w:before="240" w:after="0" w:afterAutospacing="0" w:line="259" w:lineRule="auto"/>
      <w:outlineLvl w:val="9"/>
    </w:pPr>
    <w:rPr>
      <w:rFonts w:asciiTheme="majorHAnsi" w:eastAsiaTheme="majorEastAsia" w:hAnsiTheme="majorHAnsi" w:cstheme="majorBidi"/>
      <w:b w:val="0"/>
      <w:smallCaps w:val="0"/>
      <w:color w:val="2E74B5" w:themeColor="accent1" w:themeShade="BF"/>
      <w:sz w:val="32"/>
      <w:szCs w:val="32"/>
    </w:rPr>
  </w:style>
  <w:style w:type="paragraph" w:styleId="INNH1">
    <w:name w:val="toc 1"/>
    <w:basedOn w:val="Normal"/>
    <w:next w:val="Normal"/>
    <w:autoRedefine/>
    <w:uiPriority w:val="39"/>
    <w:unhideWhenUsed/>
    <w:rsid w:val="00087E50"/>
  </w:style>
  <w:style w:type="paragraph" w:styleId="INNH2">
    <w:name w:val="toc 2"/>
    <w:basedOn w:val="Normal"/>
    <w:next w:val="Normal"/>
    <w:autoRedefine/>
    <w:uiPriority w:val="39"/>
    <w:unhideWhenUsed/>
    <w:rsid w:val="009639BA"/>
    <w:pPr>
      <w:tabs>
        <w:tab w:val="right" w:leader="dot" w:pos="9062"/>
      </w:tabs>
      <w:ind w:left="240"/>
    </w:pPr>
  </w:style>
  <w:style w:type="paragraph" w:styleId="INNH3">
    <w:name w:val="toc 3"/>
    <w:basedOn w:val="Normal"/>
    <w:next w:val="Normal"/>
    <w:autoRedefine/>
    <w:uiPriority w:val="39"/>
    <w:unhideWhenUsed/>
    <w:rsid w:val="00087E50"/>
    <w:pPr>
      <w:ind w:left="480"/>
    </w:pPr>
  </w:style>
  <w:style w:type="character" w:styleId="Hyperkobling">
    <w:name w:val="Hyperlink"/>
    <w:basedOn w:val="Standardskriftforavsnitt"/>
    <w:uiPriority w:val="99"/>
    <w:unhideWhenUsed/>
    <w:rsid w:val="00087E50"/>
    <w:rPr>
      <w:color w:val="0563C1" w:themeColor="hyperlink"/>
      <w:u w:val="single"/>
    </w:rPr>
  </w:style>
  <w:style w:type="numbering" w:customStyle="1" w:styleId="Stil1">
    <w:name w:val="Stil1"/>
    <w:uiPriority w:val="99"/>
    <w:rsid w:val="00C42012"/>
    <w:pPr>
      <w:numPr>
        <w:numId w:val="16"/>
      </w:numPr>
    </w:pPr>
  </w:style>
  <w:style w:type="paragraph" w:customStyle="1" w:styleId="Pa10">
    <w:name w:val="Pa10"/>
    <w:basedOn w:val="Normal"/>
    <w:next w:val="Normal"/>
    <w:uiPriority w:val="99"/>
    <w:rsid w:val="00C76C3D"/>
    <w:pPr>
      <w:autoSpaceDE w:val="0"/>
      <w:autoSpaceDN w:val="0"/>
      <w:adjustRightInd w:val="0"/>
      <w:spacing w:after="0" w:afterAutospacing="0" w:line="213" w:lineRule="atLeast"/>
    </w:pPr>
    <w:rPr>
      <w:rFonts w:ascii="DepCentury Old Style" w:eastAsiaTheme="minorHAnsi" w:hAnsi="DepCentury Old Style" w:cstheme="minorBidi"/>
      <w:szCs w:val="24"/>
      <w:lang w:eastAsia="en-US"/>
    </w:rPr>
  </w:style>
  <w:style w:type="paragraph" w:styleId="NormalWeb">
    <w:name w:val="Normal (Web)"/>
    <w:basedOn w:val="Normal"/>
    <w:uiPriority w:val="99"/>
    <w:semiHidden/>
    <w:unhideWhenUsed/>
    <w:rsid w:val="00F61EBA"/>
    <w:pPr>
      <w:spacing w:before="100" w:beforeAutospacing="1"/>
    </w:pPr>
    <w:rPr>
      <w:szCs w:val="24"/>
    </w:rPr>
  </w:style>
  <w:style w:type="character" w:styleId="Fulgthyperkobling">
    <w:name w:val="FollowedHyperlink"/>
    <w:basedOn w:val="Standardskriftforavsnitt"/>
    <w:uiPriority w:val="99"/>
    <w:semiHidden/>
    <w:unhideWhenUsed/>
    <w:rsid w:val="00137E51"/>
    <w:rPr>
      <w:color w:val="954F72" w:themeColor="followedHyperlink"/>
      <w:u w:val="single"/>
    </w:rPr>
  </w:style>
  <w:style w:type="numbering" w:customStyle="1" w:styleId="Stil2">
    <w:name w:val="Stil2"/>
    <w:uiPriority w:val="99"/>
    <w:rsid w:val="009639BA"/>
    <w:pPr>
      <w:numPr>
        <w:numId w:val="35"/>
      </w:numPr>
    </w:pPr>
  </w:style>
  <w:style w:type="paragraph" w:styleId="Topptekst">
    <w:name w:val="header"/>
    <w:basedOn w:val="Normal"/>
    <w:link w:val="TopptekstTegn"/>
    <w:uiPriority w:val="99"/>
    <w:unhideWhenUsed/>
    <w:rsid w:val="00B57DA4"/>
    <w:pPr>
      <w:tabs>
        <w:tab w:val="center" w:pos="4513"/>
        <w:tab w:val="right" w:pos="9026"/>
      </w:tabs>
      <w:spacing w:after="0"/>
    </w:pPr>
  </w:style>
  <w:style w:type="character" w:customStyle="1" w:styleId="TopptekstTegn">
    <w:name w:val="Topptekst Tegn"/>
    <w:basedOn w:val="Standardskriftforavsnitt"/>
    <w:link w:val="Topptekst"/>
    <w:uiPriority w:val="99"/>
    <w:rsid w:val="00B57DA4"/>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B57DA4"/>
    <w:pPr>
      <w:tabs>
        <w:tab w:val="center" w:pos="4513"/>
        <w:tab w:val="right" w:pos="9026"/>
      </w:tabs>
      <w:spacing w:after="0"/>
    </w:pPr>
  </w:style>
  <w:style w:type="character" w:customStyle="1" w:styleId="BunntekstTegn">
    <w:name w:val="Bunntekst Tegn"/>
    <w:basedOn w:val="Standardskriftforavsnitt"/>
    <w:link w:val="Bunntekst"/>
    <w:uiPriority w:val="99"/>
    <w:rsid w:val="00B57DA4"/>
    <w:rPr>
      <w:rFonts w:ascii="Times New Roman" w:eastAsia="Times New Roman" w:hAnsi="Times New Roman" w:cs="Times New Roman"/>
      <w:sz w:val="24"/>
      <w:szCs w:val="20"/>
      <w:lang w:eastAsia="nb-NO"/>
    </w:rPr>
  </w:style>
  <w:style w:type="paragraph" w:styleId="Ingenmellomrom">
    <w:name w:val="No Spacing"/>
    <w:uiPriority w:val="1"/>
    <w:qFormat/>
    <w:rsid w:val="00E42D95"/>
    <w:pPr>
      <w:spacing w:after="0" w:line="240" w:lineRule="auto"/>
    </w:pPr>
  </w:style>
  <w:style w:type="paragraph" w:styleId="Revisjon">
    <w:name w:val="Revision"/>
    <w:hidden/>
    <w:uiPriority w:val="99"/>
    <w:semiHidden/>
    <w:rsid w:val="00F71F55"/>
    <w:pPr>
      <w:spacing w:after="0" w:line="240" w:lineRule="auto"/>
    </w:pPr>
    <w:rPr>
      <w:rFonts w:ascii="Times New Roman" w:eastAsia="Times New Roman" w:hAnsi="Times New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09910">
      <w:bodyDiv w:val="1"/>
      <w:marLeft w:val="0"/>
      <w:marRight w:val="0"/>
      <w:marTop w:val="0"/>
      <w:marBottom w:val="0"/>
      <w:divBdr>
        <w:top w:val="none" w:sz="0" w:space="0" w:color="auto"/>
        <w:left w:val="none" w:sz="0" w:space="0" w:color="auto"/>
        <w:bottom w:val="none" w:sz="0" w:space="0" w:color="auto"/>
        <w:right w:val="none" w:sz="0" w:space="0" w:color="auto"/>
      </w:divBdr>
    </w:div>
    <w:div w:id="270939041">
      <w:bodyDiv w:val="1"/>
      <w:marLeft w:val="0"/>
      <w:marRight w:val="0"/>
      <w:marTop w:val="0"/>
      <w:marBottom w:val="0"/>
      <w:divBdr>
        <w:top w:val="none" w:sz="0" w:space="0" w:color="auto"/>
        <w:left w:val="none" w:sz="0" w:space="0" w:color="auto"/>
        <w:bottom w:val="none" w:sz="0" w:space="0" w:color="auto"/>
        <w:right w:val="none" w:sz="0" w:space="0" w:color="auto"/>
      </w:divBdr>
    </w:div>
    <w:div w:id="354040201">
      <w:bodyDiv w:val="1"/>
      <w:marLeft w:val="0"/>
      <w:marRight w:val="0"/>
      <w:marTop w:val="0"/>
      <w:marBottom w:val="0"/>
      <w:divBdr>
        <w:top w:val="none" w:sz="0" w:space="0" w:color="auto"/>
        <w:left w:val="none" w:sz="0" w:space="0" w:color="auto"/>
        <w:bottom w:val="none" w:sz="0" w:space="0" w:color="auto"/>
        <w:right w:val="none" w:sz="0" w:space="0" w:color="auto"/>
      </w:divBdr>
      <w:divsChild>
        <w:div w:id="1032417886">
          <w:marLeft w:val="1166"/>
          <w:marRight w:val="0"/>
          <w:marTop w:val="96"/>
          <w:marBottom w:val="0"/>
          <w:divBdr>
            <w:top w:val="none" w:sz="0" w:space="0" w:color="auto"/>
            <w:left w:val="none" w:sz="0" w:space="0" w:color="auto"/>
            <w:bottom w:val="none" w:sz="0" w:space="0" w:color="auto"/>
            <w:right w:val="none" w:sz="0" w:space="0" w:color="auto"/>
          </w:divBdr>
        </w:div>
        <w:div w:id="1605265406">
          <w:marLeft w:val="1166"/>
          <w:marRight w:val="0"/>
          <w:marTop w:val="96"/>
          <w:marBottom w:val="0"/>
          <w:divBdr>
            <w:top w:val="none" w:sz="0" w:space="0" w:color="auto"/>
            <w:left w:val="none" w:sz="0" w:space="0" w:color="auto"/>
            <w:bottom w:val="none" w:sz="0" w:space="0" w:color="auto"/>
            <w:right w:val="none" w:sz="0" w:space="0" w:color="auto"/>
          </w:divBdr>
        </w:div>
        <w:div w:id="1715805996">
          <w:marLeft w:val="1166"/>
          <w:marRight w:val="0"/>
          <w:marTop w:val="96"/>
          <w:marBottom w:val="0"/>
          <w:divBdr>
            <w:top w:val="none" w:sz="0" w:space="0" w:color="auto"/>
            <w:left w:val="none" w:sz="0" w:space="0" w:color="auto"/>
            <w:bottom w:val="none" w:sz="0" w:space="0" w:color="auto"/>
            <w:right w:val="none" w:sz="0" w:space="0" w:color="auto"/>
          </w:divBdr>
        </w:div>
        <w:div w:id="1932548582">
          <w:marLeft w:val="547"/>
          <w:marRight w:val="0"/>
          <w:marTop w:val="115"/>
          <w:marBottom w:val="0"/>
          <w:divBdr>
            <w:top w:val="none" w:sz="0" w:space="0" w:color="auto"/>
            <w:left w:val="none" w:sz="0" w:space="0" w:color="auto"/>
            <w:bottom w:val="none" w:sz="0" w:space="0" w:color="auto"/>
            <w:right w:val="none" w:sz="0" w:space="0" w:color="auto"/>
          </w:divBdr>
        </w:div>
        <w:div w:id="1935893147">
          <w:marLeft w:val="547"/>
          <w:marRight w:val="0"/>
          <w:marTop w:val="115"/>
          <w:marBottom w:val="0"/>
          <w:divBdr>
            <w:top w:val="none" w:sz="0" w:space="0" w:color="auto"/>
            <w:left w:val="none" w:sz="0" w:space="0" w:color="auto"/>
            <w:bottom w:val="none" w:sz="0" w:space="0" w:color="auto"/>
            <w:right w:val="none" w:sz="0" w:space="0" w:color="auto"/>
          </w:divBdr>
        </w:div>
        <w:div w:id="1962803437">
          <w:marLeft w:val="1166"/>
          <w:marRight w:val="0"/>
          <w:marTop w:val="96"/>
          <w:marBottom w:val="0"/>
          <w:divBdr>
            <w:top w:val="none" w:sz="0" w:space="0" w:color="auto"/>
            <w:left w:val="none" w:sz="0" w:space="0" w:color="auto"/>
            <w:bottom w:val="none" w:sz="0" w:space="0" w:color="auto"/>
            <w:right w:val="none" w:sz="0" w:space="0" w:color="auto"/>
          </w:divBdr>
        </w:div>
      </w:divsChild>
    </w:div>
    <w:div w:id="426660373">
      <w:bodyDiv w:val="1"/>
      <w:marLeft w:val="0"/>
      <w:marRight w:val="0"/>
      <w:marTop w:val="0"/>
      <w:marBottom w:val="0"/>
      <w:divBdr>
        <w:top w:val="none" w:sz="0" w:space="0" w:color="auto"/>
        <w:left w:val="none" w:sz="0" w:space="0" w:color="auto"/>
        <w:bottom w:val="none" w:sz="0" w:space="0" w:color="auto"/>
        <w:right w:val="none" w:sz="0" w:space="0" w:color="auto"/>
      </w:divBdr>
    </w:div>
    <w:div w:id="570889086">
      <w:bodyDiv w:val="1"/>
      <w:marLeft w:val="0"/>
      <w:marRight w:val="0"/>
      <w:marTop w:val="0"/>
      <w:marBottom w:val="0"/>
      <w:divBdr>
        <w:top w:val="none" w:sz="0" w:space="0" w:color="auto"/>
        <w:left w:val="none" w:sz="0" w:space="0" w:color="auto"/>
        <w:bottom w:val="none" w:sz="0" w:space="0" w:color="auto"/>
        <w:right w:val="none" w:sz="0" w:space="0" w:color="auto"/>
      </w:divBdr>
    </w:div>
    <w:div w:id="608901652">
      <w:bodyDiv w:val="1"/>
      <w:marLeft w:val="0"/>
      <w:marRight w:val="0"/>
      <w:marTop w:val="0"/>
      <w:marBottom w:val="0"/>
      <w:divBdr>
        <w:top w:val="none" w:sz="0" w:space="0" w:color="auto"/>
        <w:left w:val="none" w:sz="0" w:space="0" w:color="auto"/>
        <w:bottom w:val="none" w:sz="0" w:space="0" w:color="auto"/>
        <w:right w:val="none" w:sz="0" w:space="0" w:color="auto"/>
      </w:divBdr>
    </w:div>
    <w:div w:id="653264256">
      <w:bodyDiv w:val="1"/>
      <w:marLeft w:val="0"/>
      <w:marRight w:val="0"/>
      <w:marTop w:val="0"/>
      <w:marBottom w:val="0"/>
      <w:divBdr>
        <w:top w:val="none" w:sz="0" w:space="0" w:color="auto"/>
        <w:left w:val="none" w:sz="0" w:space="0" w:color="auto"/>
        <w:bottom w:val="none" w:sz="0" w:space="0" w:color="auto"/>
        <w:right w:val="none" w:sz="0" w:space="0" w:color="auto"/>
      </w:divBdr>
    </w:div>
    <w:div w:id="1170482038">
      <w:bodyDiv w:val="1"/>
      <w:marLeft w:val="0"/>
      <w:marRight w:val="0"/>
      <w:marTop w:val="0"/>
      <w:marBottom w:val="0"/>
      <w:divBdr>
        <w:top w:val="none" w:sz="0" w:space="0" w:color="auto"/>
        <w:left w:val="none" w:sz="0" w:space="0" w:color="auto"/>
        <w:bottom w:val="none" w:sz="0" w:space="0" w:color="auto"/>
        <w:right w:val="none" w:sz="0" w:space="0" w:color="auto"/>
      </w:divBdr>
    </w:div>
    <w:div w:id="1391002406">
      <w:bodyDiv w:val="1"/>
      <w:marLeft w:val="0"/>
      <w:marRight w:val="0"/>
      <w:marTop w:val="0"/>
      <w:marBottom w:val="0"/>
      <w:divBdr>
        <w:top w:val="none" w:sz="0" w:space="0" w:color="auto"/>
        <w:left w:val="none" w:sz="0" w:space="0" w:color="auto"/>
        <w:bottom w:val="none" w:sz="0" w:space="0" w:color="auto"/>
        <w:right w:val="none" w:sz="0" w:space="0" w:color="auto"/>
      </w:divBdr>
    </w:div>
    <w:div w:id="1455831547">
      <w:bodyDiv w:val="1"/>
      <w:marLeft w:val="0"/>
      <w:marRight w:val="0"/>
      <w:marTop w:val="0"/>
      <w:marBottom w:val="0"/>
      <w:divBdr>
        <w:top w:val="none" w:sz="0" w:space="0" w:color="auto"/>
        <w:left w:val="none" w:sz="0" w:space="0" w:color="auto"/>
        <w:bottom w:val="none" w:sz="0" w:space="0" w:color="auto"/>
        <w:right w:val="none" w:sz="0" w:space="0" w:color="auto"/>
      </w:divBdr>
    </w:div>
    <w:div w:id="1477332508">
      <w:bodyDiv w:val="1"/>
      <w:marLeft w:val="0"/>
      <w:marRight w:val="0"/>
      <w:marTop w:val="0"/>
      <w:marBottom w:val="0"/>
      <w:divBdr>
        <w:top w:val="none" w:sz="0" w:space="0" w:color="auto"/>
        <w:left w:val="none" w:sz="0" w:space="0" w:color="auto"/>
        <w:bottom w:val="none" w:sz="0" w:space="0" w:color="auto"/>
        <w:right w:val="none" w:sz="0" w:space="0" w:color="auto"/>
      </w:divBdr>
    </w:div>
    <w:div w:id="1495611682">
      <w:bodyDiv w:val="1"/>
      <w:marLeft w:val="0"/>
      <w:marRight w:val="0"/>
      <w:marTop w:val="900"/>
      <w:marBottom w:val="0"/>
      <w:divBdr>
        <w:top w:val="none" w:sz="0" w:space="0" w:color="auto"/>
        <w:left w:val="none" w:sz="0" w:space="0" w:color="auto"/>
        <w:bottom w:val="none" w:sz="0" w:space="0" w:color="auto"/>
        <w:right w:val="none" w:sz="0" w:space="0" w:color="auto"/>
      </w:divBdr>
      <w:divsChild>
        <w:div w:id="1563906349">
          <w:marLeft w:val="0"/>
          <w:marRight w:val="0"/>
          <w:marTop w:val="0"/>
          <w:marBottom w:val="0"/>
          <w:divBdr>
            <w:top w:val="none" w:sz="0" w:space="0" w:color="auto"/>
            <w:left w:val="none" w:sz="0" w:space="0" w:color="auto"/>
            <w:bottom w:val="none" w:sz="0" w:space="0" w:color="auto"/>
            <w:right w:val="none" w:sz="0" w:space="0" w:color="auto"/>
          </w:divBdr>
          <w:divsChild>
            <w:div w:id="1141264482">
              <w:marLeft w:val="0"/>
              <w:marRight w:val="0"/>
              <w:marTop w:val="0"/>
              <w:marBottom w:val="0"/>
              <w:divBdr>
                <w:top w:val="none" w:sz="0" w:space="0" w:color="auto"/>
                <w:left w:val="none" w:sz="0" w:space="0" w:color="auto"/>
                <w:bottom w:val="none" w:sz="0" w:space="0" w:color="auto"/>
                <w:right w:val="none" w:sz="0" w:space="0" w:color="auto"/>
              </w:divBdr>
              <w:divsChild>
                <w:div w:id="1822769695">
                  <w:marLeft w:val="0"/>
                  <w:marRight w:val="0"/>
                  <w:marTop w:val="0"/>
                  <w:marBottom w:val="0"/>
                  <w:divBdr>
                    <w:top w:val="none" w:sz="0" w:space="0" w:color="auto"/>
                    <w:left w:val="none" w:sz="0" w:space="0" w:color="auto"/>
                    <w:bottom w:val="none" w:sz="0" w:space="0" w:color="auto"/>
                    <w:right w:val="none" w:sz="0" w:space="0" w:color="auto"/>
                  </w:divBdr>
                  <w:divsChild>
                    <w:div w:id="1647856651">
                      <w:marLeft w:val="2"/>
                      <w:marRight w:val="2"/>
                      <w:marTop w:val="0"/>
                      <w:marBottom w:val="0"/>
                      <w:divBdr>
                        <w:top w:val="none" w:sz="0" w:space="0" w:color="auto"/>
                        <w:left w:val="none" w:sz="0" w:space="0" w:color="auto"/>
                        <w:bottom w:val="none" w:sz="0" w:space="0" w:color="auto"/>
                        <w:right w:val="none" w:sz="0" w:space="0" w:color="auto"/>
                      </w:divBdr>
                      <w:divsChild>
                        <w:div w:id="2096129948">
                          <w:marLeft w:val="0"/>
                          <w:marRight w:val="0"/>
                          <w:marTop w:val="300"/>
                          <w:marBottom w:val="0"/>
                          <w:divBdr>
                            <w:top w:val="none" w:sz="0" w:space="0" w:color="auto"/>
                            <w:left w:val="none" w:sz="0" w:space="0" w:color="auto"/>
                            <w:bottom w:val="none" w:sz="0" w:space="0" w:color="auto"/>
                            <w:right w:val="none" w:sz="0" w:space="0" w:color="auto"/>
                          </w:divBdr>
                          <w:divsChild>
                            <w:div w:id="110177086">
                              <w:marLeft w:val="0"/>
                              <w:marRight w:val="0"/>
                              <w:marTop w:val="0"/>
                              <w:marBottom w:val="0"/>
                              <w:divBdr>
                                <w:top w:val="none" w:sz="0" w:space="0" w:color="auto"/>
                                <w:left w:val="none" w:sz="0" w:space="0" w:color="auto"/>
                                <w:bottom w:val="none" w:sz="0" w:space="0" w:color="auto"/>
                                <w:right w:val="none" w:sz="0" w:space="0" w:color="auto"/>
                              </w:divBdr>
                              <w:divsChild>
                                <w:div w:id="1896037837">
                                  <w:marLeft w:val="0"/>
                                  <w:marRight w:val="0"/>
                                  <w:marTop w:val="0"/>
                                  <w:marBottom w:val="0"/>
                                  <w:divBdr>
                                    <w:top w:val="none" w:sz="0" w:space="0" w:color="auto"/>
                                    <w:left w:val="none" w:sz="0" w:space="0" w:color="auto"/>
                                    <w:bottom w:val="none" w:sz="0" w:space="0" w:color="auto"/>
                                    <w:right w:val="none" w:sz="0" w:space="0" w:color="auto"/>
                                  </w:divBdr>
                                  <w:divsChild>
                                    <w:div w:id="19411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024588">
      <w:bodyDiv w:val="1"/>
      <w:marLeft w:val="0"/>
      <w:marRight w:val="0"/>
      <w:marTop w:val="0"/>
      <w:marBottom w:val="0"/>
      <w:divBdr>
        <w:top w:val="none" w:sz="0" w:space="0" w:color="auto"/>
        <w:left w:val="none" w:sz="0" w:space="0" w:color="auto"/>
        <w:bottom w:val="none" w:sz="0" w:space="0" w:color="auto"/>
        <w:right w:val="none" w:sz="0" w:space="0" w:color="auto"/>
      </w:divBdr>
    </w:div>
    <w:div w:id="1610694566">
      <w:bodyDiv w:val="1"/>
      <w:marLeft w:val="0"/>
      <w:marRight w:val="0"/>
      <w:marTop w:val="0"/>
      <w:marBottom w:val="0"/>
      <w:divBdr>
        <w:top w:val="none" w:sz="0" w:space="0" w:color="auto"/>
        <w:left w:val="none" w:sz="0" w:space="0" w:color="auto"/>
        <w:bottom w:val="none" w:sz="0" w:space="0" w:color="auto"/>
        <w:right w:val="none" w:sz="0" w:space="0" w:color="auto"/>
      </w:divBdr>
      <w:divsChild>
        <w:div w:id="1295677191">
          <w:marLeft w:val="547"/>
          <w:marRight w:val="0"/>
          <w:marTop w:val="86"/>
          <w:marBottom w:val="0"/>
          <w:divBdr>
            <w:top w:val="none" w:sz="0" w:space="0" w:color="auto"/>
            <w:left w:val="none" w:sz="0" w:space="0" w:color="auto"/>
            <w:bottom w:val="none" w:sz="0" w:space="0" w:color="auto"/>
            <w:right w:val="none" w:sz="0" w:space="0" w:color="auto"/>
          </w:divBdr>
        </w:div>
        <w:div w:id="1756318065">
          <w:marLeft w:val="547"/>
          <w:marRight w:val="0"/>
          <w:marTop w:val="86"/>
          <w:marBottom w:val="0"/>
          <w:divBdr>
            <w:top w:val="none" w:sz="0" w:space="0" w:color="auto"/>
            <w:left w:val="none" w:sz="0" w:space="0" w:color="auto"/>
            <w:bottom w:val="none" w:sz="0" w:space="0" w:color="auto"/>
            <w:right w:val="none" w:sz="0" w:space="0" w:color="auto"/>
          </w:divBdr>
        </w:div>
      </w:divsChild>
    </w:div>
    <w:div w:id="1693800424">
      <w:bodyDiv w:val="1"/>
      <w:marLeft w:val="0"/>
      <w:marRight w:val="0"/>
      <w:marTop w:val="0"/>
      <w:marBottom w:val="0"/>
      <w:divBdr>
        <w:top w:val="none" w:sz="0" w:space="0" w:color="auto"/>
        <w:left w:val="none" w:sz="0" w:space="0" w:color="auto"/>
        <w:bottom w:val="none" w:sz="0" w:space="0" w:color="auto"/>
        <w:right w:val="none" w:sz="0" w:space="0" w:color="auto"/>
      </w:divBdr>
    </w:div>
    <w:div w:id="1741632961">
      <w:bodyDiv w:val="1"/>
      <w:marLeft w:val="0"/>
      <w:marRight w:val="0"/>
      <w:marTop w:val="0"/>
      <w:marBottom w:val="0"/>
      <w:divBdr>
        <w:top w:val="none" w:sz="0" w:space="0" w:color="auto"/>
        <w:left w:val="none" w:sz="0" w:space="0" w:color="auto"/>
        <w:bottom w:val="none" w:sz="0" w:space="0" w:color="auto"/>
        <w:right w:val="none" w:sz="0" w:space="0" w:color="auto"/>
      </w:divBdr>
    </w:div>
    <w:div w:id="1765371152">
      <w:bodyDiv w:val="1"/>
      <w:marLeft w:val="0"/>
      <w:marRight w:val="0"/>
      <w:marTop w:val="0"/>
      <w:marBottom w:val="0"/>
      <w:divBdr>
        <w:top w:val="none" w:sz="0" w:space="0" w:color="auto"/>
        <w:left w:val="none" w:sz="0" w:space="0" w:color="auto"/>
        <w:bottom w:val="none" w:sz="0" w:space="0" w:color="auto"/>
        <w:right w:val="none" w:sz="0" w:space="0" w:color="auto"/>
      </w:divBdr>
    </w:div>
    <w:div w:id="1797868735">
      <w:bodyDiv w:val="1"/>
      <w:marLeft w:val="0"/>
      <w:marRight w:val="0"/>
      <w:marTop w:val="0"/>
      <w:marBottom w:val="0"/>
      <w:divBdr>
        <w:top w:val="none" w:sz="0" w:space="0" w:color="auto"/>
        <w:left w:val="none" w:sz="0" w:space="0" w:color="auto"/>
        <w:bottom w:val="none" w:sz="0" w:space="0" w:color="auto"/>
        <w:right w:val="none" w:sz="0" w:space="0" w:color="auto"/>
      </w:divBdr>
    </w:div>
    <w:div w:id="19329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8" Type="http://schemas.openxmlformats.org/officeDocument/2006/relationships/hyperlink" Target="http://dbh.nsd.uib.no/dokumentasjon/kategorier.action" TargetMode="External"/><Relationship Id="rId13" Type="http://schemas.openxmlformats.org/officeDocument/2006/relationships/hyperlink" Target="https://www.regjeringen.no/contentassets/09b2321172214bbab182515b50d06da4/eksempler-pa-klassifisering-og-forvaltning-av-bidrags--og-oppdragsfinansiert-aktivitet-boa-2018.pdf" TargetMode="External"/><Relationship Id="rId18" Type="http://schemas.openxmlformats.org/officeDocument/2006/relationships/hyperlink" Target="https://www.regjeringen.no/contentassets/dd3da6e83f7348268dc7b0e43943d009/no/pdfs/otp200320040079000dddpdfs.pdf" TargetMode="External"/><Relationship Id="rId3" Type="http://schemas.openxmlformats.org/officeDocument/2006/relationships/hyperlink" Target="https://www.regjeringen.no/no/tema/naringsliv/konkurransepolitikk/regler-om-offentlig-stotte-listeside/offentlig-stotte-regelverk/id430118/" TargetMode="External"/><Relationship Id="rId21" Type="http://schemas.openxmlformats.org/officeDocument/2006/relationships/hyperlink" Target="https://lovdata.no/dokument/SF/forskrift/2005-12-15-1506" TargetMode="External"/><Relationship Id="rId7" Type="http://schemas.openxmlformats.org/officeDocument/2006/relationships/hyperlink" Target="https://www.regjeringen.no/contentassets/31af8e2c3a224ac2829e48cc91d89083/orientering-om-statsbudsjettet-2018-for-universiteter-og-hogskolar.pdf" TargetMode="External"/><Relationship Id="rId12" Type="http://schemas.openxmlformats.org/officeDocument/2006/relationships/hyperlink" Target="https://www.regjeringen.no/no/tema/naringsliv/konkurransepolitikk/regler-om-offentlig-stotte-listeside/offentlig-stotte-regelverk/id430118/" TargetMode="External"/><Relationship Id="rId17" Type="http://schemas.openxmlformats.org/officeDocument/2006/relationships/hyperlink" Target="https://www.stortinget.no/Global/pdf/Innstillinger/Odelstinget/2004-2005/inno-200405-048.pdf" TargetMode="External"/><Relationship Id="rId25" Type="http://schemas.openxmlformats.org/officeDocument/2006/relationships/hyperlink" Target="https://eur-lex.europa.eu/legal-content/EN/TXT/PDF/?uri=CELEX:E2014C0271&amp;from=EN" TargetMode="External"/><Relationship Id="rId2" Type="http://schemas.openxmlformats.org/officeDocument/2006/relationships/hyperlink" Target="https://lovdata.no/dokument/SF/forskrift/2005-12-15-1506" TargetMode="External"/><Relationship Id="rId16" Type="http://schemas.openxmlformats.org/officeDocument/2006/relationships/hyperlink" Target="http://curia.europa.eu/juris/document/document.jsf?text=&amp;docid=200949&amp;pageIndex=0&amp;doclang=DA&amp;mode=req&amp;dir=&amp;occ=first&amp;part=1&amp;cid=172492" TargetMode="External"/><Relationship Id="rId20" Type="http://schemas.openxmlformats.org/officeDocument/2006/relationships/hyperlink" Target="http://curia.europa.eu/juris/document/document.jsf?text=&amp;docid=200949&amp;pageIndex=0&amp;doclang=DA&amp;mode=req&amp;dir=&amp;occ=first&amp;part=1&amp;cid=172492" TargetMode="External"/><Relationship Id="rId1" Type="http://schemas.openxmlformats.org/officeDocument/2006/relationships/hyperlink" Target="http://curia.europa.eu/juris/document/document.jsf?text=&amp;docid=200949&amp;pageIndex=0&amp;doclang=DA&amp;mode=req&amp;dir=&amp;occ=first&amp;part=1&amp;cid=172492" TargetMode="External"/><Relationship Id="rId6" Type="http://schemas.openxmlformats.org/officeDocument/2006/relationships/hyperlink" Target="https://www.regjeringen.no/contentassets/09b2321172214bbab182515b50d06da4/eksempler-pa-klassifisering-og-forvaltning-av-bidrags--og-oppdragsfinansiert-aktivitet-boa-2018.pdf" TargetMode="External"/><Relationship Id="rId11" Type="http://schemas.openxmlformats.org/officeDocument/2006/relationships/hyperlink" Target="https://www.regjeringen.no/no/dokumenter/rundskriv-f-07-13-reglement-om-statlige-/id734714/" TargetMode="External"/><Relationship Id="rId24" Type="http://schemas.openxmlformats.org/officeDocument/2006/relationships/hyperlink" Target="https://www.lanekassen.no/nb-NO/Stipend-og-lan/Hoyere-utdanning/utdanninger-du-kan-fa-stotte-til/Videreutdanning_deltid_heltid/" TargetMode="External"/><Relationship Id="rId5" Type="http://schemas.openxmlformats.org/officeDocument/2006/relationships/hyperlink" Target="https://eur-lex.europa.eu/legal-content/EN/TXT/PDF/?uri=CELEX:E2014C0271&amp;from=EN" TargetMode="External"/><Relationship Id="rId15" Type="http://schemas.openxmlformats.org/officeDocument/2006/relationships/hyperlink" Target="http://eur-lex.europa.eu/legal-content/EN/TXT/PDF/?uri=CELEX:E2017C0003&amp;from=EN" TargetMode="External"/><Relationship Id="rId23" Type="http://schemas.openxmlformats.org/officeDocument/2006/relationships/hyperlink" Target="https://www.regjeringen.no/no/dokumenter/horing-utkast-til-forskrift-om-egenbetal/id98000/?factbox=horingsbrev&amp;lastvisited=undefined" TargetMode="External"/><Relationship Id="rId10" Type="http://schemas.openxmlformats.org/officeDocument/2006/relationships/hyperlink" Target="https://lovdata.no/dokument/SF/forskrift/2005-12-15-1506" TargetMode="External"/><Relationship Id="rId19" Type="http://schemas.openxmlformats.org/officeDocument/2006/relationships/hyperlink" Target="https://www.regjeringen.no/no/dokumenter/horing-utkast-til-forskrift-om-egenbetal/id98000/?factbox=horingsnotater&amp;lastvisited=undefined" TargetMode="External"/><Relationship Id="rId4" Type="http://schemas.openxmlformats.org/officeDocument/2006/relationships/hyperlink" Target="https://www.regjeringen.no/no/dokumenter/rundskriv-f-07-13-reglement-om-statlige-/id734714/" TargetMode="External"/><Relationship Id="rId9" Type="http://schemas.openxmlformats.org/officeDocument/2006/relationships/hyperlink" Target="https://www.regjeringen.no/no/dokumenter/prop.-1-s-kd-20152016/id2455670/" TargetMode="External"/><Relationship Id="rId14" Type="http://schemas.openxmlformats.org/officeDocument/2006/relationships/hyperlink" Target="http://eur-lex.europa.eu/legal-content/EN/TXT/PDF/?uri=CELEX:E2014C0271&amp;from=EN" TargetMode="External"/><Relationship Id="rId22" Type="http://schemas.openxmlformats.org/officeDocument/2006/relationships/hyperlink" Target="https://www.regjeringen.no/contentassets/0c36c9f9c1ca4ecebecc7142b2420511/rapprt-like-konkurransevilkar-for-offentlige-og-private-aktorer.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'Ark1'!$B$17:$B$20</c:f>
              <c:numCache>
                <c:formatCode>General</c:formatCode>
                <c:ptCount val="4"/>
                <c:pt idx="0">
                  <c:v>100</c:v>
                </c:pt>
                <c:pt idx="1">
                  <c:v>80</c:v>
                </c:pt>
                <c:pt idx="2">
                  <c:v>51</c:v>
                </c:pt>
                <c:pt idx="3">
                  <c:v>0</c:v>
                </c:pt>
              </c:numCache>
            </c:numRef>
          </c:xVal>
          <c:yVal>
            <c:numRef>
              <c:f>'Ark1'!$C$17:$C$20</c:f>
              <c:numCache>
                <c:formatCode>General</c:formatCode>
                <c:ptCount val="4"/>
                <c:pt idx="0">
                  <c:v>35</c:v>
                </c:pt>
                <c:pt idx="1">
                  <c:v>48</c:v>
                </c:pt>
                <c:pt idx="2">
                  <c:v>67</c:v>
                </c:pt>
                <c:pt idx="3">
                  <c:v>100</c:v>
                </c:pt>
              </c:numCache>
            </c:numRef>
          </c:yVal>
          <c:smooth val="0"/>
          <c:extLst>
            <c:ext xmlns:c16="http://schemas.microsoft.com/office/drawing/2014/chart" uri="{C3380CC4-5D6E-409C-BE32-E72D297353CC}">
              <c16:uniqueId val="{00000000-4799-4B6B-AC98-1C4288AD3343}"/>
            </c:ext>
          </c:extLst>
        </c:ser>
        <c:dLbls>
          <c:showLegendKey val="0"/>
          <c:showVal val="0"/>
          <c:showCatName val="0"/>
          <c:showSerName val="0"/>
          <c:showPercent val="0"/>
          <c:showBubbleSize val="0"/>
        </c:dLbls>
        <c:axId val="343921672"/>
        <c:axId val="343922328"/>
      </c:scatterChart>
      <c:valAx>
        <c:axId val="343921672"/>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b-NO"/>
                  <a:t>Egenfinansieringsprosent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b-NO"/>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43922328"/>
        <c:crosses val="autoZero"/>
        <c:crossBetween val="midCat"/>
      </c:valAx>
      <c:valAx>
        <c:axId val="34392232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b-NO"/>
                  <a:t>Kostnadsdekning</a:t>
                </a:r>
                <a:r>
                  <a:rPr lang="nb-NO" baseline="0"/>
                  <a:t> </a:t>
                </a:r>
                <a:r>
                  <a:rPr lang="nb-NO"/>
                  <a:t>i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b-NO"/>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439216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380143CAE72E41AE4F5B8E0C31F0BB" ma:contentTypeVersion="" ma:contentTypeDescription="Opprett et nytt dokument." ma:contentTypeScope="" ma:versionID="bfdbc7df895effe6140d95be5b87b4b6">
  <xsd:schema xmlns:xsd="http://www.w3.org/2001/XMLSchema" xmlns:xs="http://www.w3.org/2001/XMLSchema" xmlns:p="http://schemas.microsoft.com/office/2006/metadata/properties" xmlns:ns2="3011bd27-670b-40e8-bfc7-267b8eb171af" xmlns:ns3="468613be-f3a0-4015-ab9c-98bf79d7d01b" targetNamespace="http://schemas.microsoft.com/office/2006/metadata/properties" ma:root="true" ma:fieldsID="1873a2915a9322773855132f19ef6a9a" ns2:_="" ns3:_="">
    <xsd:import namespace="3011bd27-670b-40e8-bfc7-267b8eb171af"/>
    <xsd:import namespace="468613be-f3a0-4015-ab9c-98bf79d7d01b"/>
    <xsd:element name="properties">
      <xsd:complexType>
        <xsd:sequence>
          <xsd:element name="documentManagement">
            <xsd:complexType>
              <xsd:all>
                <xsd:element ref="ns2:TeamSiteNa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1bd27-670b-40e8-bfc7-267b8eb171af" elementFormDefault="qualified">
    <xsd:import namespace="http://schemas.microsoft.com/office/2006/documentManagement/types"/>
    <xsd:import namespace="http://schemas.microsoft.com/office/infopath/2007/PartnerControls"/>
    <xsd:element name="TeamSiteName" ma:index="8" nillable="true" ma:displayName="TeamSite" ma:default="EVU UHR" ma:internalName="TeamSit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13be-f3a0-4015-ab9c-98bf79d7d01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iteName xmlns="3011bd27-670b-40e8-bfc7-267b8eb171af">EVU UHR</TeamSit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C29D-5C52-460F-A650-D470DBB1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1bd27-670b-40e8-bfc7-267b8eb171af"/>
    <ds:schemaRef ds:uri="468613be-f3a0-4015-ab9c-98bf79d7d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8497E-4D38-4FE1-ABF4-9C94E7105DD3}">
  <ds:schemaRefs>
    <ds:schemaRef ds:uri="http://schemas.microsoft.com/office/2006/metadata/properties"/>
    <ds:schemaRef ds:uri="http://schemas.microsoft.com/office/infopath/2007/PartnerControls"/>
    <ds:schemaRef ds:uri="3011bd27-670b-40e8-bfc7-267b8eb171af"/>
  </ds:schemaRefs>
</ds:datastoreItem>
</file>

<file path=customXml/itemProps3.xml><?xml version="1.0" encoding="utf-8"?>
<ds:datastoreItem xmlns:ds="http://schemas.openxmlformats.org/officeDocument/2006/customXml" ds:itemID="{B839B400-1602-469B-8283-D268D2215AC4}">
  <ds:schemaRefs>
    <ds:schemaRef ds:uri="http://schemas.microsoft.com/sharepoint/v3/contenttype/forms"/>
  </ds:schemaRefs>
</ds:datastoreItem>
</file>

<file path=customXml/itemProps4.xml><?xml version="1.0" encoding="utf-8"?>
<ds:datastoreItem xmlns:ds="http://schemas.openxmlformats.org/officeDocument/2006/customXml" ds:itemID="{23CBC044-351A-40D8-ABEC-CB80E992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11796</Words>
  <Characters>62519</Characters>
  <Application>Microsoft Office Word</Application>
  <DocSecurity>4</DocSecurity>
  <Lines>520</Lines>
  <Paragraphs>148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Rakel Christina Granaas</dc:creator>
  <cp:keywords/>
  <dc:description/>
  <cp:lastModifiedBy>Kjærstin Åstveit</cp:lastModifiedBy>
  <cp:revision>2</cp:revision>
  <cp:lastPrinted>2018-06-14T06:39:00Z</cp:lastPrinted>
  <dcterms:created xsi:type="dcterms:W3CDTF">2025-03-21T14:40:00Z</dcterms:created>
  <dcterms:modified xsi:type="dcterms:W3CDTF">2025-03-21T14:40:00Z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0x01010068380143CAE72E41AE4F5B8E0C31F0BB</vt:lpwstr>
  </property>
</Properties>
</file>