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2BFE" w14:textId="565591D3" w:rsidR="002A59B4" w:rsidRDefault="002D0EBD" w:rsidP="00DC3582">
      <w:pPr>
        <w:pStyle w:val="Overskrift1"/>
        <w:spacing w:before="120"/>
      </w:pPr>
      <w:r>
        <w:t>TDI-modellen</w:t>
      </w:r>
    </w:p>
    <w:p w14:paraId="5F1A6AFD" w14:textId="1D13F3AD" w:rsidR="00825CC6" w:rsidRDefault="00E104BF" w:rsidP="00E104BF">
      <w:pPr>
        <w:spacing w:after="360"/>
        <w:rPr>
          <w:b/>
        </w:rPr>
      </w:pPr>
      <w:r>
        <w:rPr>
          <w:bCs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024A1E" wp14:editId="6E7867AA">
                <wp:simplePos x="0" y="0"/>
                <wp:positionH relativeFrom="margin">
                  <wp:align>right</wp:align>
                </wp:positionH>
                <wp:positionV relativeFrom="paragraph">
                  <wp:posOffset>688975</wp:posOffset>
                </wp:positionV>
                <wp:extent cx="5743575" cy="9525"/>
                <wp:effectExtent l="0" t="0" r="28575" b="28575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F5AC1" id="Rett linje 1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05pt,54.25pt" to="853.3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" strokecolor="#4579b8 [3044]">
                <w10:wrap anchorx="margin"/>
              </v:line>
            </w:pict>
          </mc:Fallback>
        </mc:AlternateContent>
      </w:r>
      <w:r w:rsidR="00F60B37" w:rsidRPr="005F06A3">
        <w:rPr>
          <w:b/>
        </w:rPr>
        <w:t xml:space="preserve">Kunnskap om </w:t>
      </w:r>
      <w:r w:rsidR="004C2C40" w:rsidRPr="005F06A3">
        <w:rPr>
          <w:b/>
        </w:rPr>
        <w:t xml:space="preserve">totale kostnader </w:t>
      </w:r>
      <w:r w:rsidR="005D6420" w:rsidRPr="005F06A3">
        <w:rPr>
          <w:b/>
        </w:rPr>
        <w:t xml:space="preserve">for aktiviteter </w:t>
      </w:r>
      <w:r w:rsidR="004C2C40" w:rsidRPr="005F06A3">
        <w:rPr>
          <w:b/>
        </w:rPr>
        <w:t xml:space="preserve">er en nødvendig, </w:t>
      </w:r>
      <w:r w:rsidR="00A808CC">
        <w:rPr>
          <w:b/>
        </w:rPr>
        <w:t>men naturligvis</w:t>
      </w:r>
      <w:r w:rsidR="004C2C40" w:rsidRPr="005F06A3">
        <w:rPr>
          <w:b/>
        </w:rPr>
        <w:t xml:space="preserve"> ikke tilstrekkelig, betingelse for å føre en informert samtale om faglige prioriteringer</w:t>
      </w:r>
      <w:r w:rsidR="00F60B37" w:rsidRPr="005F06A3">
        <w:rPr>
          <w:b/>
        </w:rPr>
        <w:t xml:space="preserve"> i fagmiljøene</w:t>
      </w:r>
      <w:r w:rsidR="004C2C40" w:rsidRPr="005F06A3">
        <w:rPr>
          <w:b/>
        </w:rPr>
        <w:t xml:space="preserve">. </w:t>
      </w:r>
      <w:r w:rsidR="00D64FFE">
        <w:rPr>
          <w:b/>
        </w:rPr>
        <w:t>TDI-modellen</w:t>
      </w:r>
      <w:r w:rsidR="00B86DF2">
        <w:rPr>
          <w:b/>
        </w:rPr>
        <w:t xml:space="preserve"> er en slik totalkostnadsmodell og </w:t>
      </w:r>
      <w:r w:rsidR="00D64FFE">
        <w:rPr>
          <w:b/>
        </w:rPr>
        <w:t xml:space="preserve">utvikles </w:t>
      </w:r>
      <w:r w:rsidR="00B86DF2">
        <w:rPr>
          <w:b/>
        </w:rPr>
        <w:t>nå videre</w:t>
      </w:r>
      <w:r w:rsidR="005910CC">
        <w:rPr>
          <w:b/>
        </w:rPr>
        <w:t>.</w:t>
      </w:r>
    </w:p>
    <w:p w14:paraId="4BF55599" w14:textId="38C35F9E" w:rsidR="009501A4" w:rsidRDefault="009501A4" w:rsidP="00E104BF">
      <w:pPr>
        <w:spacing w:after="360"/>
        <w:sectPr w:rsidR="009501A4" w:rsidSect="005F5B20">
          <w:footerReference w:type="default" r:id="rId8"/>
          <w:footerReference w:type="first" r:id="rId9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3B6B809" w14:textId="617F9B5E" w:rsidR="004C2C40" w:rsidRDefault="004C2C40" w:rsidP="00E104BF">
      <w:pPr>
        <w:spacing w:after="120"/>
      </w:pPr>
      <w:r>
        <w:t>Fo</w:t>
      </w:r>
      <w:r w:rsidR="00CA033E">
        <w:t xml:space="preserve">kuset på totale kostnader </w:t>
      </w:r>
      <w:r w:rsidR="00D64FFE">
        <w:t xml:space="preserve">har vært en </w:t>
      </w:r>
      <w:r>
        <w:t xml:space="preserve">del av </w:t>
      </w:r>
      <w:r w:rsidR="00CA033E">
        <w:t xml:space="preserve">en </w:t>
      </w:r>
      <w:r w:rsidR="00B86DF2">
        <w:t xml:space="preserve">langvarig </w:t>
      </w:r>
      <w:r>
        <w:t>europeisk trend</w:t>
      </w:r>
      <w:r w:rsidR="002D0EBD">
        <w:t>.</w:t>
      </w:r>
      <w:r>
        <w:t xml:space="preserve"> </w:t>
      </w:r>
      <w:r w:rsidR="00B86DF2">
        <w:t xml:space="preserve">Det dreier seg om et helt ordinært økonomifaglig fokus: Å redegjøre for kostnader uavhengig av hvem som betaler for dem. Det faglige fokuset er viktigst, dvs. prosjektenes faglige innhold. Men kunnskapen om kostnader gir nyttig tilleggsinformasjon og kan bidra til </w:t>
      </w:r>
      <w:r w:rsidR="00E94F50">
        <w:t>bedre finansiering</w:t>
      </w:r>
      <w:r w:rsidR="00571170">
        <w:t xml:space="preserve"> og ressursallokering</w:t>
      </w:r>
      <w:r w:rsidR="00E94F50">
        <w:t>.</w:t>
      </w:r>
      <w:r w:rsidR="00E42FC4">
        <w:t xml:space="preserve"> </w:t>
      </w:r>
      <w:r>
        <w:t xml:space="preserve">I Norge </w:t>
      </w:r>
      <w:r w:rsidR="00E42FC4">
        <w:t>ser vi</w:t>
      </w:r>
      <w:r w:rsidR="007C762E">
        <w:t>:</w:t>
      </w:r>
    </w:p>
    <w:p w14:paraId="43BF2077" w14:textId="59679386" w:rsidR="004C2C40" w:rsidRDefault="00D64FFE" w:rsidP="009F6CA7">
      <w:pPr>
        <w:pStyle w:val="Listeavsnitt"/>
        <w:numPr>
          <w:ilvl w:val="0"/>
          <w:numId w:val="2"/>
        </w:numPr>
        <w:ind w:left="426"/>
      </w:pPr>
      <w:r>
        <w:t>R</w:t>
      </w:r>
      <w:r w:rsidR="004C2C40">
        <w:t xml:space="preserve">egelverket for eksternt finansierte aktivitet fra 2002 slo fast at 40 % påslag for indirekte kostnader må erstattes av mer nøyaktige beregninger. </w:t>
      </w:r>
      <w:r>
        <w:t>F</w:t>
      </w:r>
      <w:r w:rsidR="004C2C40">
        <w:t xml:space="preserve">ra 2007 </w:t>
      </w:r>
      <w:r w:rsidR="00F90633">
        <w:t>e</w:t>
      </w:r>
      <w:r>
        <w:t>r kravet</w:t>
      </w:r>
      <w:r w:rsidR="004C2C40">
        <w:t xml:space="preserve"> regnskapsføring av </w:t>
      </w:r>
      <w:r w:rsidR="004C2C40" w:rsidRPr="004C2C40">
        <w:rPr>
          <w:i/>
        </w:rPr>
        <w:t>alle</w:t>
      </w:r>
      <w:r w:rsidR="004C2C40">
        <w:t xml:space="preserve"> relevante prosjektkostnader.</w:t>
      </w:r>
    </w:p>
    <w:p w14:paraId="164D3DFD" w14:textId="042570E6" w:rsidR="004C2C40" w:rsidRDefault="009501A4" w:rsidP="009F6CA7">
      <w:pPr>
        <w:pStyle w:val="Listeavsnitt"/>
        <w:numPr>
          <w:ilvl w:val="0"/>
          <w:numId w:val="2"/>
        </w:numPr>
        <w:ind w:left="426"/>
      </w:pPr>
      <w:r>
        <w:t>F</w:t>
      </w:r>
      <w:r w:rsidR="004C2C40">
        <w:t>orskningsbevilgninger ti</w:t>
      </w:r>
      <w:r w:rsidR="00D64FFE">
        <w:t>l institusjonene kommer i</w:t>
      </w:r>
      <w:r w:rsidR="004C2C40">
        <w:t xml:space="preserve"> stigende grad fra konkurransearenaer</w:t>
      </w:r>
      <w:r w:rsidR="00CA033E">
        <w:t xml:space="preserve">, og </w:t>
      </w:r>
      <w:r w:rsidR="00A808CC">
        <w:t xml:space="preserve">slike </w:t>
      </w:r>
      <w:r w:rsidR="00CA033E">
        <w:t>eksterne midler krever m</w:t>
      </w:r>
      <w:r w:rsidR="004C2C40">
        <w:t>ed</w:t>
      </w:r>
      <w:r w:rsidR="00A808CC">
        <w:softHyphen/>
      </w:r>
      <w:r w:rsidR="004C2C40">
        <w:t>finansiering. Økende egenandeler setter press på andre aktiviteter</w:t>
      </w:r>
      <w:r w:rsidR="00D64FFE">
        <w:t xml:space="preserve"> som ikke nyter godt av eksterne bidrag</w:t>
      </w:r>
      <w:r w:rsidR="00FB71B4">
        <w:t>.</w:t>
      </w:r>
    </w:p>
    <w:p w14:paraId="2C4FD4B3" w14:textId="41DC2B43" w:rsidR="00FB71B4" w:rsidRDefault="00D64FFE" w:rsidP="009F6CA7">
      <w:pPr>
        <w:pStyle w:val="Listeavsnitt"/>
        <w:numPr>
          <w:ilvl w:val="0"/>
          <w:numId w:val="2"/>
        </w:numPr>
        <w:ind w:left="426"/>
      </w:pPr>
      <w:r>
        <w:t>Forskningsrådet finansierer ikke kjøp av utstyr som regnes som grunnleggende infrastruktur ved institusjonene, men aksepterer å betale for prosjektenes bruk av slik infrastruktur (</w:t>
      </w:r>
      <w:r w:rsidR="00E42FC4">
        <w:t xml:space="preserve">ref. rapport om </w:t>
      </w:r>
      <w:r>
        <w:t>leiesteds</w:t>
      </w:r>
      <w:r w:rsidR="00E42FC4">
        <w:softHyphen/>
      </w:r>
      <w:r>
        <w:t>modellen).</w:t>
      </w:r>
    </w:p>
    <w:p w14:paraId="0D9F9CF0" w14:textId="73F0C6F9" w:rsidR="002D0EBD" w:rsidRDefault="002D0EBD" w:rsidP="009F6CA7">
      <w:pPr>
        <w:pStyle w:val="Listeavsnitt"/>
        <w:numPr>
          <w:ilvl w:val="0"/>
          <w:numId w:val="2"/>
        </w:numPr>
        <w:ind w:left="426"/>
      </w:pPr>
      <w:r>
        <w:t>Økende fokus på livslang læring og noen grad av betalingsstudier ved de statlige institusjonene medfører behov for en totalkostnadsmodell også for u</w:t>
      </w:r>
      <w:r w:rsidR="00E42FC4">
        <w:t>ndervis</w:t>
      </w:r>
      <w:r>
        <w:t>ning.</w:t>
      </w:r>
    </w:p>
    <w:p w14:paraId="3B01D3A4" w14:textId="2659FF7A" w:rsidR="008C378B" w:rsidRDefault="002D0EBD" w:rsidP="00E104BF">
      <w:pPr>
        <w:spacing w:after="120"/>
      </w:pPr>
      <w:r>
        <w:t>En</w:t>
      </w:r>
      <w:r w:rsidR="00D64FFE">
        <w:t xml:space="preserve"> totalkostnadsmodell</w:t>
      </w:r>
      <w:r>
        <w:t xml:space="preserve"> for forskning</w:t>
      </w:r>
      <w:r w:rsidR="004D271D">
        <w:t xml:space="preserve"> </w:t>
      </w:r>
      <w:r>
        <w:t>ble utarbeidet i regi av UHR i 2012</w:t>
      </w:r>
      <w:r w:rsidR="00FB71B4" w:rsidRPr="00F40F1C">
        <w:t>.</w:t>
      </w:r>
      <w:r w:rsidR="008141E9">
        <w:t xml:space="preserve"> </w:t>
      </w:r>
      <w:r w:rsidR="00D64FFE">
        <w:t>Kunnskapsdepartementet anbefalte bruk av modellen</w:t>
      </w:r>
      <w:r w:rsidR="00E42FC4">
        <w:t xml:space="preserve"> i UH-sektoren</w:t>
      </w:r>
      <w:r w:rsidR="00D64FFE">
        <w:t xml:space="preserve"> i tildelingsbrevene for 201</w:t>
      </w:r>
      <w:r w:rsidR="003E6766">
        <w:t>4</w:t>
      </w:r>
      <w:r w:rsidR="00494749">
        <w:t>.</w:t>
      </w:r>
      <w:r w:rsidR="00DB0F42" w:rsidRPr="00DB0F42">
        <w:t xml:space="preserve"> </w:t>
      </w:r>
    </w:p>
    <w:p w14:paraId="0538D4F8" w14:textId="28E67D50" w:rsidR="003E3AC3" w:rsidRDefault="00E42FC4" w:rsidP="00E104BF">
      <w:pPr>
        <w:spacing w:after="120"/>
      </w:pPr>
      <w:r>
        <w:t>Den revisjonen av modellen som nå i 2022 er foretatt, viderefører prinsippene fra 2012</w:t>
      </w:r>
      <w:r w:rsidR="003E3AC3">
        <w:t xml:space="preserve">, men forenkler selve regnemodellen og </w:t>
      </w:r>
      <w:r w:rsidR="008C378B">
        <w:t>gi</w:t>
      </w:r>
      <w:r w:rsidR="003E3AC3">
        <w:t xml:space="preserve">r en </w:t>
      </w:r>
      <w:r w:rsidR="003E3AC3">
        <w:t>metode for å beregne indirekte kostnader</w:t>
      </w:r>
      <w:r w:rsidR="000423A1">
        <w:t xml:space="preserve"> i undervisningsprosjekter (</w:t>
      </w:r>
      <w:r w:rsidR="003E3AC3">
        <w:t xml:space="preserve">en videreføring av </w:t>
      </w:r>
      <w:proofErr w:type="spellStart"/>
      <w:r w:rsidR="003E3AC3">
        <w:t>UHRs</w:t>
      </w:r>
      <w:proofErr w:type="spellEnd"/>
      <w:r w:rsidR="003E3AC3">
        <w:t xml:space="preserve"> arbeid i 2015 </w:t>
      </w:r>
      <w:r w:rsidR="006C68C5">
        <w:t>med en EVU-mal</w:t>
      </w:r>
      <w:r w:rsidR="003E3AC3">
        <w:t>)</w:t>
      </w:r>
      <w:r>
        <w:t>.</w:t>
      </w:r>
    </w:p>
    <w:p w14:paraId="23AADC33" w14:textId="3845F335" w:rsidR="003E3AC3" w:rsidRDefault="003E3AC3" w:rsidP="00E104BF">
      <w:pPr>
        <w:spacing w:after="120"/>
      </w:pPr>
      <w:r>
        <w:t>Særtrekket ved høyere utdanning er at forskning og undervisning henger sammen: det forskes i samme fag som man underviser i, og man underviser i de fagene man forsker i. TDI-modellen skiller aktivitetene</w:t>
      </w:r>
      <w:r w:rsidR="00AF2248">
        <w:t xml:space="preserve"> og redegjør for deres kostnader uavhengig av hverandre</w:t>
      </w:r>
      <w:r>
        <w:t xml:space="preserve">. </w:t>
      </w:r>
    </w:p>
    <w:p w14:paraId="4B5B89D2" w14:textId="10E87796" w:rsidR="00F40F1C" w:rsidRPr="0014676D" w:rsidRDefault="00571170" w:rsidP="0014676D">
      <w:pPr>
        <w:pStyle w:val="Overskrift2"/>
        <w:rPr>
          <w:b w:val="0"/>
        </w:rPr>
      </w:pPr>
      <w:r w:rsidRPr="0014676D">
        <w:rPr>
          <w:rStyle w:val="Overskrift2Tegn"/>
          <w:b/>
        </w:rPr>
        <w:t xml:space="preserve">1 </w:t>
      </w:r>
      <w:r w:rsidR="00DB0F42" w:rsidRPr="0014676D">
        <w:rPr>
          <w:rStyle w:val="Overskrift2Tegn"/>
          <w:b/>
        </w:rPr>
        <w:t>P</w:t>
      </w:r>
      <w:r w:rsidR="00384704" w:rsidRPr="0014676D">
        <w:rPr>
          <w:rStyle w:val="Overskrift2Tegn"/>
          <w:b/>
        </w:rPr>
        <w:t>rinsipper</w:t>
      </w:r>
    </w:p>
    <w:p w14:paraId="11C30A9E" w14:textId="04773682" w:rsidR="00672B44" w:rsidRDefault="00F40F1C" w:rsidP="00E104BF">
      <w:pPr>
        <w:spacing w:after="120"/>
      </w:pPr>
      <w:r>
        <w:t>Totale kostnader kan deles i to – kostnader knyttet direkte til kjerneaktivitete</w:t>
      </w:r>
      <w:r w:rsidR="00672B44">
        <w:t>ne</w:t>
      </w:r>
      <w:r>
        <w:t xml:space="preserve"> og </w:t>
      </w:r>
      <w:r w:rsidR="00633DBB">
        <w:t xml:space="preserve">(indirekte) </w:t>
      </w:r>
      <w:r>
        <w:t>kostnader knyttet til støtte</w:t>
      </w:r>
      <w:r w:rsidR="00672B44">
        <w:t>tjenester</w:t>
      </w:r>
      <w:r>
        <w:t>.</w:t>
      </w:r>
      <w:r w:rsidR="00672B44">
        <w:rPr>
          <w:rStyle w:val="Fotnotereferanse"/>
        </w:rPr>
        <w:t xml:space="preserve"> </w:t>
      </w:r>
    </w:p>
    <w:p w14:paraId="027B1443" w14:textId="22D863DF" w:rsidR="00672B44" w:rsidRDefault="00F40F1C" w:rsidP="00E104BF">
      <w:pPr>
        <w:spacing w:after="120"/>
      </w:pPr>
      <w:r>
        <w:t xml:space="preserve">Til den første kategorien hører </w:t>
      </w:r>
      <w:r w:rsidR="00384704">
        <w:t xml:space="preserve">først og fremst </w:t>
      </w:r>
      <w:r>
        <w:t xml:space="preserve">lønn i vitenskapelige stillinger. </w:t>
      </w:r>
      <w:r w:rsidR="00672B44">
        <w:t>En viktig del av TDI-modellen handler i tillegg om at investeringer og drift av eksperimentell infrastruktur</w:t>
      </w:r>
      <w:r w:rsidR="00384704">
        <w:t xml:space="preserve"> </w:t>
      </w:r>
      <w:r w:rsidR="00DB0F42">
        <w:t>samt</w:t>
      </w:r>
      <w:r w:rsidR="00384704">
        <w:t xml:space="preserve"> lokaler til undervisningsbruk</w:t>
      </w:r>
      <w:r w:rsidR="00672B44">
        <w:t>, skilles ut og synliggjøres som direkte kostnader</w:t>
      </w:r>
      <w:r w:rsidR="00BA209D">
        <w:t>. Disse kostnadene</w:t>
      </w:r>
      <w:r w:rsidR="00672B44">
        <w:t xml:space="preserve"> benevnes </w:t>
      </w:r>
      <w:r w:rsidR="00672B44" w:rsidRPr="00672B44">
        <w:rPr>
          <w:i/>
        </w:rPr>
        <w:t>leiested</w:t>
      </w:r>
      <w:r w:rsidR="00672B44">
        <w:t xml:space="preserve">. </w:t>
      </w:r>
    </w:p>
    <w:p w14:paraId="16364103" w14:textId="0A45EB4F" w:rsidR="000423A1" w:rsidRDefault="000423A1" w:rsidP="00E104BF">
      <w:pPr>
        <w:spacing w:after="120"/>
      </w:pP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392CC3EF" wp14:editId="3E571801">
                <wp:simplePos x="0" y="0"/>
                <wp:positionH relativeFrom="margin">
                  <wp:posOffset>3275330</wp:posOffset>
                </wp:positionH>
                <wp:positionV relativeFrom="paragraph">
                  <wp:posOffset>38735</wp:posOffset>
                </wp:positionV>
                <wp:extent cx="2066925" cy="1102995"/>
                <wp:effectExtent l="0" t="0" r="28575" b="20955"/>
                <wp:wrapSquare wrapText="bothSides"/>
                <wp:docPr id="4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1102995"/>
                          <a:chOff x="0" y="0"/>
                          <a:chExt cx="2066925" cy="1102995"/>
                        </a:xfrm>
                      </wpg:grpSpPr>
                      <wps:wsp>
                        <wps:cNvPr id="217" name="Tekstboks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66925" cy="110299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575DD1" w14:textId="5A955CAE" w:rsidR="00CB5C78" w:rsidRDefault="00CB5C78" w:rsidP="00633DBB">
                              <w:pPr>
                                <w:spacing w:after="80"/>
                                <w:ind w:firstLine="480"/>
                              </w:pPr>
                              <w:r w:rsidRPr="00CB5C78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T</w:t>
                              </w:r>
                              <w:r>
                                <w:t>otale kostnader</w:t>
                              </w:r>
                            </w:p>
                            <w:p w14:paraId="36964B8C" w14:textId="4A90A6DA" w:rsidR="00CB5C78" w:rsidRDefault="00CB5C78" w:rsidP="00633DBB">
                              <w:pPr>
                                <w:pStyle w:val="Listeavsnitt"/>
                                <w:numPr>
                                  <w:ilvl w:val="0"/>
                                  <w:numId w:val="15"/>
                                </w:numPr>
                                <w:spacing w:after="240"/>
                                <w:ind w:left="476" w:hanging="357"/>
                              </w:pPr>
                              <w:r w:rsidRPr="00633DB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t>irekte kostnader</w:t>
                              </w:r>
                            </w:p>
                            <w:p w14:paraId="22D4BD4A" w14:textId="28E9BDF9" w:rsidR="00CB5C78" w:rsidRDefault="00633DBB" w:rsidP="00633DBB">
                              <w:pPr>
                                <w:spacing w:after="80"/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=    </w:t>
                              </w:r>
                              <w:r w:rsidR="00CB5C78" w:rsidRPr="00CB5C78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I</w:t>
                              </w:r>
                              <w:r w:rsidR="00CB5C78">
                                <w:t>ndirekte kostnader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Rett linje 2"/>
                        <wps:cNvCnPr/>
                        <wps:spPr>
                          <a:xfrm>
                            <a:off x="190500" y="666750"/>
                            <a:ext cx="14954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2CC3EF" id="Gruppe 4" o:spid="_x0000_s1026" style="position:absolute;margin-left:257.9pt;margin-top:3.05pt;width:162.75pt;height:86.85pt;z-index:251740160;mso-position-horizontal-relative:margin;mso-width-relative:margin;mso-height-relative:margin" coordsize="20669,1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" o:spid="_x0000_s1027" type="#_x0000_t202" style="position:absolute;width:20669;height:1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" fillcolor="#dbe5f1 [660]">
                  <v:textbox style="mso-fit-shape-to-text:t">
                    <w:txbxContent>
                      <w:p w14:paraId="74575DD1" w14:textId="5A955CAE" w:rsidR="00CB5C78" w:rsidRDefault="00CB5C78" w:rsidP="00633DBB">
                        <w:pPr>
                          <w:spacing w:after="80"/>
                          <w:ind w:firstLine="480"/>
                        </w:pPr>
                        <w:r w:rsidRPr="00CB5C78">
                          <w:rPr>
                            <w:b/>
                            <w:bCs/>
                            <w:sz w:val="28"/>
                            <w:szCs w:val="28"/>
                          </w:rPr>
                          <w:t>T</w:t>
                        </w:r>
                        <w:r>
                          <w:t>otale kostnader</w:t>
                        </w:r>
                      </w:p>
                      <w:p w14:paraId="36964B8C" w14:textId="4A90A6DA" w:rsidR="00CB5C78" w:rsidRDefault="00CB5C78" w:rsidP="00633DBB">
                        <w:pPr>
                          <w:pStyle w:val="Listeavsnitt"/>
                          <w:numPr>
                            <w:ilvl w:val="0"/>
                            <w:numId w:val="15"/>
                          </w:numPr>
                          <w:spacing w:after="240"/>
                          <w:ind w:left="476" w:hanging="357"/>
                        </w:pPr>
                        <w:r w:rsidRPr="00633DBB">
                          <w:rPr>
                            <w:b/>
                            <w:bCs/>
                            <w:sz w:val="28"/>
                            <w:szCs w:val="28"/>
                          </w:rPr>
                          <w:t>D</w:t>
                        </w:r>
                        <w:r>
                          <w:t>irekte kostnader</w:t>
                        </w:r>
                      </w:p>
                      <w:p w14:paraId="22D4BD4A" w14:textId="28E9BDF9" w:rsidR="00CB5C78" w:rsidRDefault="00633DBB" w:rsidP="00633DBB">
                        <w:pPr>
                          <w:spacing w:after="80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=    </w:t>
                        </w:r>
                        <w:r w:rsidR="00CB5C78" w:rsidRPr="00CB5C78">
                          <w:rPr>
                            <w:b/>
                            <w:bCs/>
                            <w:sz w:val="28"/>
                            <w:szCs w:val="28"/>
                          </w:rPr>
                          <w:t>I</w:t>
                        </w:r>
                        <w:r w:rsidR="00CB5C78">
                          <w:t>ndirekte kostnader</w:t>
                        </w:r>
                      </w:p>
                    </w:txbxContent>
                  </v:textbox>
                </v:shape>
                <v:line id="Rett linje 2" o:spid="_x0000_s1028" style="position:absolute;visibility:visible;mso-wrap-style:square" from="1905,6667" to="16859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" strokecolor="black [3040]"/>
                <w10:wrap type="square" anchorx="margin"/>
              </v:group>
            </w:pict>
          </mc:Fallback>
        </mc:AlternateContent>
      </w:r>
    </w:p>
    <w:p w14:paraId="3F80BFDF" w14:textId="19B42488" w:rsidR="000423A1" w:rsidRDefault="000423A1" w:rsidP="00E104BF">
      <w:pPr>
        <w:spacing w:after="120"/>
      </w:pPr>
    </w:p>
    <w:p w14:paraId="1F2C42D6" w14:textId="77777777" w:rsidR="000423A1" w:rsidRDefault="000423A1" w:rsidP="00E104BF">
      <w:pPr>
        <w:spacing w:after="120"/>
      </w:pPr>
    </w:p>
    <w:p w14:paraId="1CF90CF5" w14:textId="77777777" w:rsidR="000423A1" w:rsidRDefault="000423A1" w:rsidP="00E104BF">
      <w:pPr>
        <w:spacing w:after="120"/>
      </w:pPr>
    </w:p>
    <w:p w14:paraId="2CCBFADE" w14:textId="77777777" w:rsidR="000423A1" w:rsidRDefault="000423A1" w:rsidP="00E104BF">
      <w:pPr>
        <w:spacing w:after="120"/>
      </w:pPr>
    </w:p>
    <w:p w14:paraId="46C4FF0B" w14:textId="6808986A" w:rsidR="00F40F1C" w:rsidRDefault="00672B44" w:rsidP="00E104BF">
      <w:pPr>
        <w:spacing w:after="120"/>
      </w:pPr>
      <w:r>
        <w:t xml:space="preserve">Øvrige kostnader er </w:t>
      </w:r>
      <w:r w:rsidR="00F40F1C">
        <w:t>indirekte</w:t>
      </w:r>
      <w:r w:rsidR="00BA209D">
        <w:t xml:space="preserve"> og bestemmes r</w:t>
      </w:r>
      <w:r w:rsidR="00DB0F42">
        <w:t>esidualt</w:t>
      </w:r>
      <w:r>
        <w:t>. D</w:t>
      </w:r>
      <w:r w:rsidR="003E3AC3">
        <w:t>iss</w:t>
      </w:r>
      <w:r>
        <w:t xml:space="preserve">e </w:t>
      </w:r>
      <w:r w:rsidR="00E94F50" w:rsidRPr="00E94F50">
        <w:t>indirekte kostnadene</w:t>
      </w:r>
      <w:r w:rsidR="00E94F50">
        <w:t xml:space="preserve"> </w:t>
      </w:r>
      <w:r w:rsidR="00F40F1C">
        <w:t>dreier seg både om sentral</w:t>
      </w:r>
      <w:r w:rsidR="003E3AC3">
        <w:t>t organiserte</w:t>
      </w:r>
      <w:r w:rsidR="00F40F1C">
        <w:t xml:space="preserve"> fellestjenester som bibliotek og IT, </w:t>
      </w:r>
      <w:r>
        <w:t xml:space="preserve">personal- og økonomitjenester </w:t>
      </w:r>
      <w:r w:rsidR="00F40F1C">
        <w:t>samt lokal administrasjon og ledelse.</w:t>
      </w:r>
      <w:r w:rsidR="00E94F50">
        <w:t xml:space="preserve"> De indirekte kostnadene fordeles på </w:t>
      </w:r>
      <w:r w:rsidR="00E94F50" w:rsidRPr="00E94F50">
        <w:rPr>
          <w:i/>
        </w:rPr>
        <w:t>kostnadsbærere</w:t>
      </w:r>
      <w:r w:rsidR="00E94F50">
        <w:t xml:space="preserve">, dvs. </w:t>
      </w:r>
      <w:r w:rsidR="00007DE4">
        <w:t>arbeidsplass</w:t>
      </w:r>
      <w:r w:rsidR="009058CA">
        <w:t>, studenter</w:t>
      </w:r>
      <w:r w:rsidR="00007DE4">
        <w:t xml:space="preserve"> samt </w:t>
      </w:r>
      <w:r w:rsidR="00E94F50">
        <w:t>kjerneaktivitetene forskning og u</w:t>
      </w:r>
      <w:r w:rsidR="007C0764">
        <w:t>ndervi</w:t>
      </w:r>
      <w:r w:rsidR="006622E8">
        <w:t>sn</w:t>
      </w:r>
      <w:r w:rsidR="00E94F50">
        <w:t>ing. Formidling og innovasjon er også kjerneaktivite</w:t>
      </w:r>
      <w:r w:rsidR="00E94F50">
        <w:lastRenderedPageBreak/>
        <w:t>ter: De synliggjøres ikke som egne kostnadsbærere, men inngår i kjerneaktivitetene forskning og u</w:t>
      </w:r>
      <w:r w:rsidR="006622E8">
        <w:t>ndervis</w:t>
      </w:r>
      <w:r w:rsidR="00E94F50">
        <w:t>ning.</w:t>
      </w:r>
    </w:p>
    <w:p w14:paraId="4B5B2F39" w14:textId="312EE266" w:rsidR="00E104BF" w:rsidRDefault="00E104BF" w:rsidP="00E104BF">
      <w:pPr>
        <w:spacing w:after="120"/>
      </w:pPr>
      <w:r>
        <w:t>I prosjektbudsjett og</w:t>
      </w:r>
      <w:r w:rsidR="00782178">
        <w:t xml:space="preserve"> </w:t>
      </w:r>
      <w:r>
        <w:t xml:space="preserve">-regnskap spesifiseres direkte kostnader. Indirekte kostnader regnes inn som et påslag knyttet til </w:t>
      </w:r>
      <w:r w:rsidRPr="00E94F50">
        <w:rPr>
          <w:i/>
        </w:rPr>
        <w:t>kostnadsdriver</w:t>
      </w:r>
      <w:r>
        <w:rPr>
          <w:i/>
        </w:rPr>
        <w:t>e</w:t>
      </w:r>
      <w:r>
        <w:t>.</w:t>
      </w:r>
    </w:p>
    <w:p w14:paraId="2A2C98A4" w14:textId="6F41AE94" w:rsidR="005C00D7" w:rsidRPr="007B4C1D" w:rsidRDefault="007B4C1D" w:rsidP="007B4C1D">
      <w:pPr>
        <w:spacing w:after="0"/>
        <w:rPr>
          <w:rStyle w:val="Sterkreferanse"/>
        </w:rPr>
      </w:pPr>
      <w:r>
        <w:rPr>
          <w:rStyle w:val="Sterkreferanse"/>
        </w:rPr>
        <w:t>1.1</w:t>
      </w:r>
      <w:r w:rsidR="005C00D7" w:rsidRPr="007B4C1D">
        <w:rPr>
          <w:rStyle w:val="Sterkreferanse"/>
        </w:rPr>
        <w:t xml:space="preserve"> Framgangsmåte</w:t>
      </w:r>
    </w:p>
    <w:p w14:paraId="0BE89B75" w14:textId="3C2733DF" w:rsidR="005C00D7" w:rsidRDefault="004636CB" w:rsidP="00E104BF">
      <w:pPr>
        <w:spacing w:after="120"/>
      </w:pPr>
      <w:r>
        <w:t>De totale kostnadene er netto kostnader innenfor den bevilgningsfinansierte delen av virksomheten (BFV). Nettobegrepet innebærer at kostnadene reduseres med noen typer inntekter: salg og refusjoner.</w:t>
      </w:r>
    </w:p>
    <w:p w14:paraId="54BB7B6D" w14:textId="637BE67C" w:rsidR="004636CB" w:rsidRDefault="004636CB" w:rsidP="00E104BF">
      <w:pPr>
        <w:spacing w:after="120"/>
      </w:pPr>
      <w:r>
        <w:t>Fra disse totale, ne</w:t>
      </w:r>
      <w:r w:rsidR="000423A1">
        <w:t xml:space="preserve">tto kostnader trekker man så </w:t>
      </w:r>
      <w:r>
        <w:t>de direkte kostnadene. Disse direkte kostnadene er spesifisert i kapittel 2 nedenfor.</w:t>
      </w:r>
    </w:p>
    <w:p w14:paraId="1D008E0A" w14:textId="54C86A64" w:rsidR="005C00D7" w:rsidRDefault="004636CB" w:rsidP="00E104BF">
      <w:pPr>
        <w:spacing w:after="120"/>
      </w:pPr>
      <w:r>
        <w:t>Det man da står igjen med, er de indirekte kostnadene. De indirekte kostnadene skal henføres til kostnadsbærere og kostnadsdrivere, og vi henviser til videre spesifikasjon i kapittel 3 nedenfor.</w:t>
      </w:r>
    </w:p>
    <w:p w14:paraId="0AC7F8E7" w14:textId="10D1B45F" w:rsidR="00E94F50" w:rsidRDefault="004636CB" w:rsidP="008C378B">
      <w:pPr>
        <w:pStyle w:val="Overskrift2"/>
        <w:spacing w:before="360"/>
      </w:pPr>
      <w:r>
        <w:t>2</w:t>
      </w:r>
      <w:r w:rsidR="00571170">
        <w:t xml:space="preserve"> </w:t>
      </w:r>
      <w:r w:rsidR="00E94F50">
        <w:t>Direkte kostnader</w:t>
      </w:r>
    </w:p>
    <w:p w14:paraId="34A4662C" w14:textId="6CA50DA9" w:rsidR="00E94F50" w:rsidRDefault="00E94F50" w:rsidP="00E104BF">
      <w:pPr>
        <w:spacing w:after="120"/>
      </w:pPr>
      <w:r>
        <w:t xml:space="preserve">Direkte kostnader er først og fremst lønn i vitenskapelig stilling og </w:t>
      </w:r>
      <w:r w:rsidR="00962363">
        <w:t xml:space="preserve">bruk av </w:t>
      </w:r>
      <w:r>
        <w:t>leiested.</w:t>
      </w:r>
    </w:p>
    <w:p w14:paraId="21F07EED" w14:textId="34587907" w:rsidR="00E94F50" w:rsidRPr="00461106" w:rsidRDefault="004636CB" w:rsidP="00461106">
      <w:pPr>
        <w:spacing w:after="0"/>
        <w:rPr>
          <w:rStyle w:val="Sterkreferanse"/>
        </w:rPr>
      </w:pPr>
      <w:r>
        <w:rPr>
          <w:rStyle w:val="Sterkreferanse"/>
        </w:rPr>
        <w:t>2</w:t>
      </w:r>
      <w:r w:rsidR="00571170">
        <w:rPr>
          <w:rStyle w:val="Sterkreferanse"/>
        </w:rPr>
        <w:t xml:space="preserve">.1 </w:t>
      </w:r>
      <w:r>
        <w:rPr>
          <w:rStyle w:val="Sterkreferanse"/>
        </w:rPr>
        <w:t>Lønn i vitenskapelig stilling</w:t>
      </w:r>
    </w:p>
    <w:p w14:paraId="6BA5180B" w14:textId="77777777" w:rsidR="004636CB" w:rsidRDefault="004636CB" w:rsidP="00E104BF">
      <w:pPr>
        <w:spacing w:after="120"/>
      </w:pPr>
      <w:r>
        <w:t>Med lønn menes naturligvis alle lønnskostnader, dvs. både lønn og sosiale kostnader (arbeidsgiveravgift, pensjonsinnskudd mv.).</w:t>
      </w:r>
    </w:p>
    <w:p w14:paraId="2D7D47F7" w14:textId="7D1F953E" w:rsidR="00E104BF" w:rsidRDefault="004636CB" w:rsidP="00E104BF">
      <w:pPr>
        <w:spacing w:after="120"/>
      </w:pPr>
      <w:r>
        <w:t xml:space="preserve">Lønn i vitenskapelig stilling tas </w:t>
      </w:r>
      <w:r w:rsidRPr="00A1137C">
        <w:rPr>
          <w:i/>
          <w:iCs/>
        </w:rPr>
        <w:t>enten</w:t>
      </w:r>
      <w:r>
        <w:t xml:space="preserve"> ut i regnskapet på grunnlag av en kontoplan som gir mulighet for å hente ut denne typen spesifikke data </w:t>
      </w:r>
      <w:r w:rsidRPr="00A1137C">
        <w:rPr>
          <w:i/>
          <w:iCs/>
        </w:rPr>
        <w:t>eller</w:t>
      </w:r>
      <w:r>
        <w:t xml:space="preserve"> ved at man beregner en gjennomsnittslønn i de stillingskodene som inngår i begrepet ‘vitenskapelige stillinger’ og multipliserer </w:t>
      </w:r>
      <w:r w:rsidR="00A1137C">
        <w:t>gjennomsnittslønnen med antall årsverk (data fra DBH) i de samme stillingskodene.</w:t>
      </w:r>
    </w:p>
    <w:p w14:paraId="3FAD66A2" w14:textId="4BE0950B" w:rsidR="000423A1" w:rsidRDefault="000423A1" w:rsidP="00E104BF">
      <w:pPr>
        <w:spacing w:after="120"/>
      </w:pPr>
      <w:r>
        <w:t>Antall timer i et årsverk settes til 1628</w:t>
      </w:r>
      <w:r w:rsidR="00E9563A">
        <w:t xml:space="preserve">, ref. </w:t>
      </w:r>
      <w:hyperlink r:id="rId10" w:history="1">
        <w:r w:rsidR="00E9563A" w:rsidRPr="00B82914">
          <w:rPr>
            <w:rStyle w:val="Hyperkobling"/>
          </w:rPr>
          <w:t>rapport fra 201</w:t>
        </w:r>
        <w:r w:rsidR="00B82914">
          <w:rPr>
            <w:rStyle w:val="Hyperkobling"/>
          </w:rPr>
          <w:t>3 (vedlegg 4)</w:t>
        </w:r>
      </w:hyperlink>
      <w:r w:rsidR="00E9563A">
        <w:t xml:space="preserve"> på Universitets- og høgskolerådets (UHR) nettsider.</w:t>
      </w:r>
    </w:p>
    <w:p w14:paraId="0AAC3DEE" w14:textId="076EFFBA" w:rsidR="00CF431D" w:rsidRPr="00461106" w:rsidRDefault="00E104BF" w:rsidP="000423A1">
      <w:pPr>
        <w:spacing w:after="0"/>
        <w:rPr>
          <w:rStyle w:val="Sterkreferanse"/>
        </w:rPr>
      </w:pPr>
      <w:r>
        <w:rPr>
          <w:rStyle w:val="Sterkreferanse"/>
        </w:rPr>
        <w:br w:type="column"/>
      </w:r>
      <w:r w:rsidR="004636CB">
        <w:rPr>
          <w:rStyle w:val="Sterkreferanse"/>
        </w:rPr>
        <w:t>2</w:t>
      </w:r>
      <w:r w:rsidR="00CF431D">
        <w:rPr>
          <w:rStyle w:val="Sterkreferanse"/>
        </w:rPr>
        <w:t>.2 Noen andre direkte kostnader</w:t>
      </w:r>
    </w:p>
    <w:p w14:paraId="0B56D11B" w14:textId="15CC9BB0" w:rsidR="00F72F51" w:rsidRDefault="00F72F51" w:rsidP="00E104BF">
      <w:pPr>
        <w:spacing w:after="120"/>
      </w:pPr>
      <w:r>
        <w:t>Brukernære driftsmidler (f.eks. reise- og konferansedeltakelse – en skjønnsmessig fastsatt sats) og kjøp av forsknings- og undervisningstjenester</w:t>
      </w:r>
      <w:r w:rsidR="00CF5487">
        <w:t>, herunder praksiskostnader</w:t>
      </w:r>
      <w:r w:rsidR="000E2FCC">
        <w:t>,</w:t>
      </w:r>
      <w:r>
        <w:t xml:space="preserve"> regnes også som direkte kostnader.</w:t>
      </w:r>
      <w:r w:rsidR="00E92CAF">
        <w:t xml:space="preserve"> Forsknings- og undervisningstjenester finnes som spesifikke artskonti i regnskapet.</w:t>
      </w:r>
    </w:p>
    <w:p w14:paraId="657D694E" w14:textId="640C7DC7" w:rsidR="006C68C5" w:rsidRDefault="006C68C5" w:rsidP="00E104BF">
      <w:pPr>
        <w:spacing w:after="120"/>
      </w:pPr>
      <w:r>
        <w:t>I tillegg behandles museene, som finnes ved noen universiteter, i si</w:t>
      </w:r>
      <w:r w:rsidR="00E72DEC">
        <w:t>n helhet som direkte kostnader.</w:t>
      </w:r>
    </w:p>
    <w:p w14:paraId="76801C8A" w14:textId="44AEA291" w:rsidR="00461106" w:rsidRPr="00461106" w:rsidRDefault="00586F58" w:rsidP="00F72F51">
      <w:pPr>
        <w:spacing w:after="0"/>
        <w:rPr>
          <w:rStyle w:val="Sterkreferanse"/>
        </w:rPr>
      </w:pPr>
      <w:r>
        <w:rPr>
          <w:rStyle w:val="Sterkreferanse"/>
        </w:rPr>
        <w:t>2</w:t>
      </w:r>
      <w:r w:rsidR="00571170">
        <w:rPr>
          <w:rStyle w:val="Sterkreferanse"/>
        </w:rPr>
        <w:t>.</w:t>
      </w:r>
      <w:r w:rsidR="00F72F51">
        <w:rPr>
          <w:rStyle w:val="Sterkreferanse"/>
        </w:rPr>
        <w:t>3</w:t>
      </w:r>
      <w:r w:rsidR="00571170">
        <w:rPr>
          <w:rStyle w:val="Sterkreferanse"/>
        </w:rPr>
        <w:t xml:space="preserve"> </w:t>
      </w:r>
      <w:r w:rsidR="00461106">
        <w:rPr>
          <w:rStyle w:val="Sterkreferanse"/>
        </w:rPr>
        <w:t>Leiested</w:t>
      </w:r>
    </w:p>
    <w:p w14:paraId="2BD3D1F2" w14:textId="76A1BBA2" w:rsidR="00C930D2" w:rsidRDefault="00461106" w:rsidP="00E104BF">
      <w:pPr>
        <w:spacing w:after="120"/>
      </w:pPr>
      <w:r>
        <w:t>Introduksjonen av leiested var prinsipielt nytt i 2012. Leiestedsmodellen</w:t>
      </w:r>
      <w:r w:rsidR="006C4FFD">
        <w:t xml:space="preserve"> er</w:t>
      </w:r>
      <w:r>
        <w:t xml:space="preserve"> en del av den overordnede TDI-modellen</w:t>
      </w:r>
      <w:r w:rsidR="006C4FFD">
        <w:t xml:space="preserve"> og</w:t>
      </w:r>
      <w:r>
        <w:t xml:space="preserve"> innebærer at kostnader som tradisjonelt har vært betraktet som indirekte, gjøres direkte. Innføringen av leiested fører til riktigere ressursallokering på prosjektnivå og større sikkerhet for inntekter, bl.a. til framtidige utstyrsinvesteringer.</w:t>
      </w:r>
    </w:p>
    <w:p w14:paraId="7829F578" w14:textId="61F1CECF" w:rsidR="00461106" w:rsidRDefault="00461106" w:rsidP="00E92CAF">
      <w:pPr>
        <w:spacing w:after="0"/>
      </w:pPr>
      <w:r>
        <w:t xml:space="preserve">Leiestedskostnader knyttet til </w:t>
      </w:r>
      <w:r w:rsidRPr="00E62F97">
        <w:t>forskningsinfrastruktur</w:t>
      </w:r>
      <w:r>
        <w:t xml:space="preserve"> er de kostnader som </w:t>
      </w:r>
      <w:r w:rsidR="00E92CAF">
        <w:t>bidrar til</w:t>
      </w:r>
      <w:r>
        <w:t xml:space="preserve"> at fagmiljøene er ulike mht. kostnadsbilde, dvs</w:t>
      </w:r>
      <w:r w:rsidR="006C68C5">
        <w:t>.</w:t>
      </w:r>
      <w:r>
        <w:t xml:space="preserve"> eksperimentell infrastruktur </w:t>
      </w:r>
      <w:r w:rsidR="006C4FFD">
        <w:t>med</w:t>
      </w:r>
      <w:r>
        <w:t xml:space="preserve"> tilhørende</w:t>
      </w:r>
      <w:r w:rsidR="00355C8A">
        <w:t xml:space="preserve"> kostnader knyttet til</w:t>
      </w:r>
    </w:p>
    <w:p w14:paraId="7CBB0483" w14:textId="4BA1BEC7" w:rsidR="00461106" w:rsidRDefault="00355C8A" w:rsidP="00E104BF">
      <w:pPr>
        <w:pStyle w:val="Listeavsnitt"/>
        <w:numPr>
          <w:ilvl w:val="0"/>
          <w:numId w:val="8"/>
        </w:numPr>
        <w:spacing w:after="0"/>
        <w:ind w:left="709"/>
      </w:pPr>
      <w:r>
        <w:t>laboratorie</w:t>
      </w:r>
      <w:r w:rsidR="00461106">
        <w:t>areal</w:t>
      </w:r>
      <w:r>
        <w:t>er</w:t>
      </w:r>
    </w:p>
    <w:p w14:paraId="2DA9029D" w14:textId="77777777" w:rsidR="00461106" w:rsidRDefault="00461106" w:rsidP="00E104BF">
      <w:pPr>
        <w:pStyle w:val="Listeavsnitt"/>
        <w:numPr>
          <w:ilvl w:val="0"/>
          <w:numId w:val="8"/>
        </w:numPr>
        <w:spacing w:after="0"/>
        <w:ind w:left="709"/>
      </w:pPr>
      <w:r>
        <w:t>vitenskapelig utstyr</w:t>
      </w:r>
    </w:p>
    <w:p w14:paraId="47D5FF9A" w14:textId="219D88A7" w:rsidR="00461106" w:rsidRDefault="00461106" w:rsidP="00E104BF">
      <w:pPr>
        <w:pStyle w:val="Listeavsnitt"/>
        <w:numPr>
          <w:ilvl w:val="0"/>
          <w:numId w:val="8"/>
        </w:numPr>
        <w:spacing w:after="0"/>
        <w:ind w:left="709"/>
      </w:pPr>
      <w:r>
        <w:t>driftsmateriell</w:t>
      </w:r>
      <w:r w:rsidR="00355C8A">
        <w:t xml:space="preserve"> </w:t>
      </w:r>
    </w:p>
    <w:p w14:paraId="77BB841E" w14:textId="7C3717DE" w:rsidR="00461106" w:rsidRDefault="00461106" w:rsidP="00E104BF">
      <w:pPr>
        <w:pStyle w:val="Listeavsnitt"/>
        <w:numPr>
          <w:ilvl w:val="0"/>
          <w:numId w:val="8"/>
        </w:numPr>
        <w:spacing w:after="120"/>
        <w:ind w:left="709"/>
      </w:pPr>
      <w:r>
        <w:t>teknisk støttepersonell</w:t>
      </w:r>
      <w:r w:rsidR="00355C8A">
        <w:t xml:space="preserve"> </w:t>
      </w:r>
    </w:p>
    <w:p w14:paraId="1FA3D17B" w14:textId="77777777" w:rsidR="00E92CAF" w:rsidRDefault="00E92CAF" w:rsidP="00E104BF">
      <w:pPr>
        <w:spacing w:after="120"/>
      </w:pPr>
      <w:r>
        <w:t xml:space="preserve">For utdanningsområdet vil et leiested være de undervisningsarealer som benyttes til undervisningen. </w:t>
      </w:r>
    </w:p>
    <w:p w14:paraId="6FC8768B" w14:textId="39DAE1D9" w:rsidR="00461106" w:rsidRDefault="00E92CAF" w:rsidP="00E104BF">
      <w:pPr>
        <w:spacing w:after="120"/>
      </w:pPr>
      <w:r>
        <w:t>Eksternt finansierte p</w:t>
      </w:r>
      <w:r w:rsidR="00461106">
        <w:t xml:space="preserve">rosjekter som har bruk for leiestedstjenester, forutsettes å </w:t>
      </w:r>
      <w:r w:rsidR="00461106" w:rsidRPr="00F700D0">
        <w:rPr>
          <w:i/>
        </w:rPr>
        <w:t>betale</w:t>
      </w:r>
      <w:r w:rsidR="00461106">
        <w:t xml:space="preserve"> for disse tjenestene. Det krever at det utvikles betalingsmodeller, og disse kan variere mellom institusjoner og fagmiljøer, avhengig av særlige kjennetegn ved fagmiljøene. Vi </w:t>
      </w:r>
      <w:r w:rsidR="00527DFE">
        <w:t xml:space="preserve">viser til </w:t>
      </w:r>
      <w:hyperlink r:id="rId11" w:history="1">
        <w:r w:rsidR="00461106" w:rsidRPr="00C45310">
          <w:rPr>
            <w:rStyle w:val="Hyperkobling"/>
          </w:rPr>
          <w:t xml:space="preserve">rapport </w:t>
        </w:r>
        <w:r w:rsidR="00CF431D" w:rsidRPr="00C45310">
          <w:rPr>
            <w:rStyle w:val="Hyperkobling"/>
          </w:rPr>
          <w:t>fra 201</w:t>
        </w:r>
        <w:r w:rsidR="0006065A">
          <w:rPr>
            <w:rStyle w:val="Hyperkobling"/>
          </w:rPr>
          <w:t>3</w:t>
        </w:r>
        <w:r w:rsidR="00CF431D" w:rsidRPr="00C45310">
          <w:rPr>
            <w:rStyle w:val="Hyperkobling"/>
          </w:rPr>
          <w:t xml:space="preserve"> </w:t>
        </w:r>
        <w:r w:rsidR="00461106" w:rsidRPr="00C45310">
          <w:rPr>
            <w:rStyle w:val="Hyperkobling"/>
          </w:rPr>
          <w:t>om leiested</w:t>
        </w:r>
      </w:hyperlink>
      <w:r w:rsidR="00461106">
        <w:t xml:space="preserve"> på </w:t>
      </w:r>
      <w:proofErr w:type="spellStart"/>
      <w:r w:rsidR="00461106">
        <w:t>UHR</w:t>
      </w:r>
      <w:r w:rsidR="00E9563A">
        <w:t>s</w:t>
      </w:r>
      <w:proofErr w:type="spellEnd"/>
      <w:r w:rsidR="00461106">
        <w:t xml:space="preserve"> nettsider.</w:t>
      </w:r>
    </w:p>
    <w:p w14:paraId="19C83919" w14:textId="324CE9B3" w:rsidR="00E104BF" w:rsidRDefault="00E104BF" w:rsidP="00E104BF">
      <w:pPr>
        <w:spacing w:after="120"/>
      </w:pPr>
    </w:p>
    <w:p w14:paraId="3B717E46" w14:textId="7222BEF4" w:rsidR="00007DE4" w:rsidRDefault="00A1137C" w:rsidP="006C68C5">
      <w:pPr>
        <w:pStyle w:val="Overskrift2"/>
        <w:spacing w:before="360"/>
      </w:pPr>
      <w:r>
        <w:lastRenderedPageBreak/>
        <w:t>3</w:t>
      </w:r>
      <w:r w:rsidR="00571170">
        <w:t xml:space="preserve"> </w:t>
      </w:r>
      <w:r w:rsidR="00007DE4">
        <w:t>Indirekte kostnader</w:t>
      </w:r>
    </w:p>
    <w:p w14:paraId="2970EFE6" w14:textId="54C1EF5E" w:rsidR="008C45E5" w:rsidRDefault="005F681E" w:rsidP="00E104BF">
      <w:pPr>
        <w:spacing w:after="120"/>
      </w:pPr>
      <w:r>
        <w:t xml:space="preserve">Indirekte kostnader er en residual. Utgangspunktet er de totale kostnadene </w:t>
      </w:r>
      <w:r w:rsidR="00EE4996">
        <w:t xml:space="preserve">(BFV) </w:t>
      </w:r>
      <w:r w:rsidR="00007DE4">
        <w:t xml:space="preserve">i </w:t>
      </w:r>
      <w:r>
        <w:t>virksomheten. Disse fastsettes netto, dvs. fratrukket salgsinntekter og refusjoner. Fra disse totale, netto kostnader trekker man alle direkte kostnader</w:t>
      </w:r>
      <w:r w:rsidR="00007DE4">
        <w:t>.</w:t>
      </w:r>
      <w:r w:rsidR="009501A4">
        <w:t xml:space="preserve"> I tillegg trekker man også </w:t>
      </w:r>
      <w:r w:rsidR="00633DBB">
        <w:t>ut eventuelle</w:t>
      </w:r>
      <w:r w:rsidR="009501A4">
        <w:t xml:space="preserve"> kostnader som gjelder organisasjoner som ikke er en del av universitetet/høyskolen (såkalte «irrelevante kostnader»).</w:t>
      </w:r>
    </w:p>
    <w:p w14:paraId="3136C8C3" w14:textId="0124E7AA" w:rsidR="008C45E5" w:rsidRPr="00461106" w:rsidRDefault="00A1137C" w:rsidP="00E104BF">
      <w:pPr>
        <w:spacing w:after="0"/>
        <w:rPr>
          <w:rStyle w:val="Sterkreferanse"/>
        </w:rPr>
      </w:pPr>
      <w:r>
        <w:rPr>
          <w:rStyle w:val="Sterkreferanse"/>
        </w:rPr>
        <w:t>3</w:t>
      </w:r>
      <w:r w:rsidR="008C45E5">
        <w:rPr>
          <w:rStyle w:val="Sterkreferanse"/>
        </w:rPr>
        <w:t>.1 Kostnadsbærere</w:t>
      </w:r>
    </w:p>
    <w:p w14:paraId="0C0609DE" w14:textId="6CB00C7D" w:rsidR="005F681E" w:rsidRDefault="008C45E5" w:rsidP="00E104BF">
      <w:pPr>
        <w:spacing w:after="120"/>
      </w:pPr>
      <w:r>
        <w:t xml:space="preserve">Disse indirekte kostnadene skal deretter henføres til </w:t>
      </w:r>
      <w:r w:rsidRPr="008C45E5">
        <w:rPr>
          <w:b/>
          <w:bCs/>
        </w:rPr>
        <w:t>kostnadsbærere</w:t>
      </w:r>
      <w:r>
        <w:t>.</w:t>
      </w:r>
    </w:p>
    <w:p w14:paraId="5EB5333B" w14:textId="69DA6729" w:rsidR="0086618F" w:rsidRDefault="0086618F" w:rsidP="00E104BF">
      <w:pPr>
        <w:pStyle w:val="Listeavsnitt"/>
        <w:numPr>
          <w:ilvl w:val="0"/>
          <w:numId w:val="14"/>
        </w:numPr>
        <w:spacing w:after="120"/>
        <w:ind w:left="426"/>
      </w:pPr>
      <w:r>
        <w:t xml:space="preserve">Deler av de indirekte kostnadene er generelle </w:t>
      </w:r>
      <w:r w:rsidRPr="008C45E5">
        <w:rPr>
          <w:i/>
        </w:rPr>
        <w:t>arbeidsplasskostnader</w:t>
      </w:r>
      <w:r w:rsidR="00A22294">
        <w:t xml:space="preserve">: </w:t>
      </w:r>
      <w:r>
        <w:t>kontorarealet</w:t>
      </w:r>
      <w:r w:rsidR="00A22294">
        <w:t xml:space="preserve"> og kostnader i den sentrale administrasjonen til </w:t>
      </w:r>
      <w:r>
        <w:t>IT/tele</w:t>
      </w:r>
      <w:r>
        <w:softHyphen/>
        <w:t>foni</w:t>
      </w:r>
      <w:r w:rsidR="00A22294">
        <w:t xml:space="preserve"> samt</w:t>
      </w:r>
      <w:r>
        <w:t xml:space="preserve"> personal- og økonomiadm</w:t>
      </w:r>
      <w:r w:rsidR="00F72F51">
        <w:t>inistrasjon</w:t>
      </w:r>
      <w:r w:rsidR="00A22294">
        <w:t>.</w:t>
      </w:r>
      <w:r w:rsidR="008C45E5">
        <w:br/>
      </w:r>
    </w:p>
    <w:p w14:paraId="0C5C0890" w14:textId="28E314E0" w:rsidR="00C45310" w:rsidRDefault="0086618F" w:rsidP="00E104BF">
      <w:pPr>
        <w:pStyle w:val="Listeavsnitt"/>
        <w:numPr>
          <w:ilvl w:val="0"/>
          <w:numId w:val="14"/>
        </w:numPr>
        <w:spacing w:after="120"/>
        <w:ind w:left="426"/>
      </w:pPr>
      <w:r>
        <w:t xml:space="preserve">Øvrige indirekte kostnader </w:t>
      </w:r>
      <w:r w:rsidRPr="006C68C5">
        <w:t>henføres til</w:t>
      </w:r>
      <w:r w:rsidRPr="008C45E5">
        <w:rPr>
          <w:i/>
        </w:rPr>
        <w:t xml:space="preserve"> kjerneaktivitetene</w:t>
      </w:r>
      <w:r w:rsidR="00AF484A" w:rsidRPr="008C45E5">
        <w:rPr>
          <w:i/>
        </w:rPr>
        <w:t xml:space="preserve"> forskning og u</w:t>
      </w:r>
      <w:r w:rsidR="001215E9">
        <w:rPr>
          <w:i/>
        </w:rPr>
        <w:t>ndervis</w:t>
      </w:r>
      <w:r w:rsidR="00AF484A" w:rsidRPr="008C45E5">
        <w:rPr>
          <w:i/>
        </w:rPr>
        <w:t>ning</w:t>
      </w:r>
      <w:r>
        <w:t xml:space="preserve"> </w:t>
      </w:r>
      <w:r w:rsidR="001215E9">
        <w:t xml:space="preserve">samt </w:t>
      </w:r>
      <w:r w:rsidR="001215E9">
        <w:rPr>
          <w:i/>
        </w:rPr>
        <w:t>studenttall (60-studiepoengenheter)</w:t>
      </w:r>
      <w:r w:rsidR="001215E9">
        <w:t xml:space="preserve"> </w:t>
      </w:r>
      <w:r>
        <w:t xml:space="preserve">– dels på grunnlag av tjenestenes art, dels basert på et </w:t>
      </w:r>
      <w:r w:rsidRPr="00007DE4">
        <w:t>brukerperspektiv</w:t>
      </w:r>
      <w:r>
        <w:t xml:space="preserve">. </w:t>
      </w:r>
      <w:r w:rsidR="00EE01A7">
        <w:br/>
      </w:r>
      <w:r w:rsidR="00EE01A7">
        <w:br/>
        <w:t>Med tjenestenes art tenker vi eksempelvis på den sentrale forskningsadministrasjonen og studieadministrasjonen, samt kostnader til fristasjon og studentvelferd.</w:t>
      </w:r>
      <w:r w:rsidR="008C45E5">
        <w:br/>
      </w:r>
      <w:r w:rsidR="008C45E5">
        <w:br/>
      </w:r>
      <w:r>
        <w:t xml:space="preserve">Med </w:t>
      </w:r>
      <w:r w:rsidR="00EE01A7">
        <w:t>brukerperspektiv/</w:t>
      </w:r>
      <w:r>
        <w:t xml:space="preserve">brukere </w:t>
      </w:r>
      <w:r w:rsidR="00EE01A7">
        <w:t>forstår vi</w:t>
      </w:r>
      <w:r>
        <w:t xml:space="preserve"> vitenskapelig ansatte og studenter</w:t>
      </w:r>
      <w:r w:rsidR="00D029A3">
        <w:t>:</w:t>
      </w:r>
    </w:p>
    <w:p w14:paraId="00F6705E" w14:textId="4A5D8485" w:rsidR="008C45E5" w:rsidRDefault="008C45E5" w:rsidP="001215E9">
      <w:pPr>
        <w:pStyle w:val="Listeavsnitt"/>
        <w:numPr>
          <w:ilvl w:val="0"/>
          <w:numId w:val="12"/>
        </w:numPr>
        <w:ind w:left="851"/>
      </w:pPr>
      <w:r>
        <w:t>Vitenskapelig ansattes tid fordeles på kjerneaktivitetene forskning og u</w:t>
      </w:r>
      <w:r w:rsidR="001215E9">
        <w:t>ndervis</w:t>
      </w:r>
      <w:r>
        <w:t>ning.  Fordelingen baseres på andeler av arbeidstid som er forutsatt anvendt til respektive kjerneaktiviteter, og de indirekte kostnadene fordeles forholdsmessig.</w:t>
      </w:r>
    </w:p>
    <w:p w14:paraId="21364123" w14:textId="77777777" w:rsidR="00E104BF" w:rsidRDefault="008C45E5" w:rsidP="001215E9">
      <w:pPr>
        <w:pStyle w:val="Listeavsnitt"/>
        <w:numPr>
          <w:ilvl w:val="0"/>
          <w:numId w:val="12"/>
        </w:numPr>
        <w:ind w:left="851"/>
      </w:pPr>
      <w:r>
        <w:t>Studentenes bruk gjelder alltid u</w:t>
      </w:r>
      <w:r w:rsidR="001215E9">
        <w:t>ndervis</w:t>
      </w:r>
      <w:r>
        <w:t>ning.</w:t>
      </w:r>
    </w:p>
    <w:p w14:paraId="23B93DB9" w14:textId="17368829" w:rsidR="008C45E5" w:rsidRPr="00461106" w:rsidRDefault="000423A1" w:rsidP="008C45E5">
      <w:pPr>
        <w:spacing w:after="0"/>
        <w:rPr>
          <w:rStyle w:val="Sterkreferanse"/>
        </w:rPr>
      </w:pPr>
      <w:r>
        <w:rPr>
          <w:rStyle w:val="Sterkreferanse"/>
        </w:rPr>
        <w:br w:type="column"/>
      </w:r>
      <w:r w:rsidR="00A1137C">
        <w:rPr>
          <w:rStyle w:val="Sterkreferanse"/>
        </w:rPr>
        <w:t>3</w:t>
      </w:r>
      <w:r w:rsidR="008C45E5">
        <w:rPr>
          <w:rStyle w:val="Sterkreferanse"/>
        </w:rPr>
        <w:t>.2 Kostnadsdrivere</w:t>
      </w:r>
    </w:p>
    <w:p w14:paraId="26F4091E" w14:textId="7FC9C5A3" w:rsidR="00620540" w:rsidRDefault="00620540" w:rsidP="00620540">
      <w:r>
        <w:t xml:space="preserve">Når man slik har henført de indirekte kostnadene til respektive kostnadsbærere, gjenstår det å fastsette en </w:t>
      </w:r>
      <w:r w:rsidRPr="008C45E5">
        <w:rPr>
          <w:b/>
          <w:bCs/>
        </w:rPr>
        <w:t>kostnadsdriver</w:t>
      </w:r>
      <w:r w:rsidR="000423A1">
        <w:rPr>
          <w:bCs/>
        </w:rPr>
        <w:t xml:space="preserve"> for de fire kostnadsbærerne. Disse kostnadsdriverne </w:t>
      </w:r>
      <w:r w:rsidR="001215E9">
        <w:rPr>
          <w:bCs/>
        </w:rPr>
        <w:t>skal anvendes i prosjektbudsjettering og prosjektregnskap</w:t>
      </w:r>
      <w:r>
        <w:t>:</w:t>
      </w:r>
    </w:p>
    <w:p w14:paraId="7B0E8C0D" w14:textId="579786F6" w:rsidR="00AF484A" w:rsidRDefault="00AF484A" w:rsidP="00447CDF">
      <w:pPr>
        <w:pStyle w:val="Listeavsnitt"/>
        <w:numPr>
          <w:ilvl w:val="0"/>
          <w:numId w:val="16"/>
        </w:numPr>
        <w:ind w:left="426"/>
      </w:pPr>
      <w:r>
        <w:t xml:space="preserve">For indirekte kostnader til </w:t>
      </w:r>
      <w:r w:rsidRPr="00F72F51">
        <w:rPr>
          <w:i/>
          <w:iCs/>
        </w:rPr>
        <w:t>arbeidsplass</w:t>
      </w:r>
      <w:r>
        <w:t xml:space="preserve"> er kostnadsdriveren årsverk i vitenskapelige stilling samt </w:t>
      </w:r>
      <w:r w:rsidR="009501A4">
        <w:t>teknisk støtte</w:t>
      </w:r>
      <w:r w:rsidR="00866C2F">
        <w:t>personell</w:t>
      </w:r>
      <w:r w:rsidR="009501A4">
        <w:t xml:space="preserve"> på leiesteder</w:t>
      </w:r>
      <w:r>
        <w:t>.</w:t>
      </w:r>
    </w:p>
    <w:p w14:paraId="781FCBDA" w14:textId="77777777" w:rsidR="00AF484A" w:rsidRDefault="00AF484A" w:rsidP="00447CDF">
      <w:pPr>
        <w:pStyle w:val="Listeavsnitt"/>
        <w:numPr>
          <w:ilvl w:val="0"/>
          <w:numId w:val="16"/>
        </w:numPr>
        <w:ind w:left="426"/>
      </w:pPr>
      <w:r>
        <w:t>For</w:t>
      </w:r>
      <w:r w:rsidR="0086618F">
        <w:t xml:space="preserve"> </w:t>
      </w:r>
      <w:r w:rsidR="0086618F" w:rsidRPr="00007DE4">
        <w:t xml:space="preserve">indirekte kostnader </w:t>
      </w:r>
      <w:r>
        <w:t>til</w:t>
      </w:r>
      <w:r w:rsidR="0086618F" w:rsidRPr="00007DE4">
        <w:t xml:space="preserve"> </w:t>
      </w:r>
      <w:r w:rsidR="0086618F" w:rsidRPr="00F72F51">
        <w:rPr>
          <w:i/>
          <w:iCs/>
        </w:rPr>
        <w:t>forskning</w:t>
      </w:r>
      <w:r>
        <w:t xml:space="preserve"> er kostnadsdriveren</w:t>
      </w:r>
      <w:r w:rsidR="0086618F">
        <w:t xml:space="preserve"> vitenskapelig ansattes tidsbruk til forskning</w:t>
      </w:r>
      <w:r>
        <w:t>.</w:t>
      </w:r>
    </w:p>
    <w:p w14:paraId="659D7461" w14:textId="1B6C7E79" w:rsidR="001215E9" w:rsidRDefault="00AF484A" w:rsidP="00447CDF">
      <w:pPr>
        <w:pStyle w:val="Listeavsnitt"/>
        <w:numPr>
          <w:ilvl w:val="0"/>
          <w:numId w:val="16"/>
        </w:numPr>
        <w:ind w:left="426"/>
      </w:pPr>
      <w:r>
        <w:t xml:space="preserve">For indirekte kostnader til </w:t>
      </w:r>
      <w:r w:rsidR="00E92CAF">
        <w:rPr>
          <w:i/>
          <w:iCs/>
        </w:rPr>
        <w:t>undervis</w:t>
      </w:r>
      <w:r w:rsidRPr="00F72F51">
        <w:rPr>
          <w:i/>
          <w:iCs/>
        </w:rPr>
        <w:t>ning</w:t>
      </w:r>
      <w:r>
        <w:t xml:space="preserve"> </w:t>
      </w:r>
      <w:r w:rsidR="001215E9">
        <w:t xml:space="preserve">er </w:t>
      </w:r>
      <w:r w:rsidR="00447CDF">
        <w:t>kostnadsdriveren vitenskapelig ansattes tidsbruk til undervisning.</w:t>
      </w:r>
    </w:p>
    <w:p w14:paraId="650C6C44" w14:textId="7D37CB93" w:rsidR="008C45E5" w:rsidRDefault="00447CDF" w:rsidP="00447CDF">
      <w:pPr>
        <w:pStyle w:val="Listeavsnitt"/>
        <w:numPr>
          <w:ilvl w:val="0"/>
          <w:numId w:val="16"/>
        </w:numPr>
        <w:ind w:left="426"/>
      </w:pPr>
      <w:r>
        <w:t xml:space="preserve">Kostnadsdriver for studenter er studenttall, definert som </w:t>
      </w:r>
      <w:r w:rsidR="001215E9">
        <w:t>60-studiepoengenheter</w:t>
      </w:r>
      <w:r>
        <w:t xml:space="preserve"> (</w:t>
      </w:r>
      <w:r w:rsidR="001215E9">
        <w:t>SPE</w:t>
      </w:r>
      <w:r w:rsidR="00E72DEC">
        <w:t>)</w:t>
      </w:r>
      <w:r>
        <w:t>.</w:t>
      </w:r>
    </w:p>
    <w:p w14:paraId="771A7D48" w14:textId="77777777" w:rsidR="00447CDF" w:rsidRDefault="00447CDF" w:rsidP="000423A1">
      <w:pPr>
        <w:spacing w:after="120"/>
      </w:pPr>
      <w:r>
        <w:t xml:space="preserve">I </w:t>
      </w:r>
      <w:r w:rsidRPr="00447CDF">
        <w:rPr>
          <w:b/>
        </w:rPr>
        <w:t>forskningsprosjekter</w:t>
      </w:r>
      <w:r>
        <w:t xml:space="preserve"> inngår de indirekte kostnadene som en sum av </w:t>
      </w:r>
      <w:proofErr w:type="spellStart"/>
      <w:r>
        <w:t>arbeidsplassatsen</w:t>
      </w:r>
      <w:proofErr w:type="spellEnd"/>
      <w:r>
        <w:t xml:space="preserve"> og forskningssatsen. </w:t>
      </w:r>
    </w:p>
    <w:p w14:paraId="3ECBEF81" w14:textId="62253E80" w:rsidR="001215E9" w:rsidRDefault="00447CDF" w:rsidP="000423A1">
      <w:pPr>
        <w:spacing w:after="120"/>
      </w:pPr>
      <w:r>
        <w:t xml:space="preserve">I </w:t>
      </w:r>
      <w:r w:rsidRPr="00447CDF">
        <w:rPr>
          <w:b/>
        </w:rPr>
        <w:t>undervisningsprosjekter</w:t>
      </w:r>
      <w:r>
        <w:t xml:space="preserve"> summere</w:t>
      </w:r>
      <w:r w:rsidR="0006065A">
        <w:t>s</w:t>
      </w:r>
      <w:r>
        <w:t xml:space="preserve"> </w:t>
      </w:r>
      <w:proofErr w:type="spellStart"/>
      <w:r>
        <w:t>arbeidsplassatsen</w:t>
      </w:r>
      <w:proofErr w:type="spellEnd"/>
      <w:r>
        <w:t xml:space="preserve"> med under</w:t>
      </w:r>
      <w:r w:rsidR="00E72DEC">
        <w:t>visningssatsen og studentsatsen</w:t>
      </w:r>
      <w:r>
        <w:t>.</w:t>
      </w:r>
    </w:p>
    <w:p w14:paraId="7744D3F6" w14:textId="4931E116" w:rsidR="008C45E5" w:rsidRPr="00461106" w:rsidRDefault="00A1137C" w:rsidP="008C45E5">
      <w:pPr>
        <w:spacing w:after="0"/>
        <w:rPr>
          <w:rStyle w:val="Sterkreferanse"/>
        </w:rPr>
      </w:pPr>
      <w:r>
        <w:rPr>
          <w:rStyle w:val="Sterkreferanse"/>
        </w:rPr>
        <w:t>3</w:t>
      </w:r>
      <w:r w:rsidR="008C45E5">
        <w:rPr>
          <w:rStyle w:val="Sterkreferanse"/>
        </w:rPr>
        <w:t>.3 Gjennomsnittssats</w:t>
      </w:r>
    </w:p>
    <w:p w14:paraId="63A04E23" w14:textId="7DE85D70" w:rsidR="005F681E" w:rsidRDefault="005F681E" w:rsidP="000423A1">
      <w:pPr>
        <w:spacing w:after="120"/>
      </w:pPr>
      <w:r>
        <w:t xml:space="preserve">Satsene for indirekte </w:t>
      </w:r>
      <w:r w:rsidR="00E92CAF">
        <w:t xml:space="preserve">kostnader beregnes som </w:t>
      </w:r>
      <w:r>
        <w:t>gjennomsnittssats</w:t>
      </w:r>
      <w:r w:rsidR="00E92CAF">
        <w:t>er</w:t>
      </w:r>
      <w:r>
        <w:t xml:space="preserve"> på institusjonsnivå. Det gjøres sentralt ved hver enkelt institusjon. Fagmiljøene skal ikke selv beregne de</w:t>
      </w:r>
      <w:r w:rsidR="00AF484A">
        <w:t>m.</w:t>
      </w:r>
    </w:p>
    <w:p w14:paraId="6A5F85A4" w14:textId="77777777" w:rsidR="009501A4" w:rsidRDefault="009501A4" w:rsidP="000423A1">
      <w:pPr>
        <w:spacing w:after="120"/>
      </w:pPr>
    </w:p>
    <w:p w14:paraId="3076DBEA" w14:textId="77777777" w:rsidR="00A1137C" w:rsidRDefault="00A1137C" w:rsidP="00CA033E">
      <w:pPr>
        <w:pStyle w:val="Overskrift2"/>
      </w:pPr>
      <w:r>
        <w:br w:type="page"/>
      </w:r>
    </w:p>
    <w:p w14:paraId="6589E5D1" w14:textId="77F15E4B" w:rsidR="00CA033E" w:rsidRPr="00CA033E" w:rsidRDefault="0006065A" w:rsidP="006C68C5">
      <w:pPr>
        <w:pStyle w:val="Overskrift2"/>
        <w:spacing w:before="360"/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188C6EAF" wp14:editId="7A9508B6">
                <wp:simplePos x="0" y="0"/>
                <wp:positionH relativeFrom="column">
                  <wp:posOffset>3100070</wp:posOffset>
                </wp:positionH>
                <wp:positionV relativeFrom="paragraph">
                  <wp:posOffset>0</wp:posOffset>
                </wp:positionV>
                <wp:extent cx="2400300" cy="144780"/>
                <wp:effectExtent l="0" t="0" r="0" b="76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2E41A" w14:textId="3384125C" w:rsidR="0006065A" w:rsidRPr="0006065A" w:rsidRDefault="0006065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C6EAF" id="Text Box 2" o:spid="_x0000_s1029" type="#_x0000_t202" style="position:absolute;margin-left:244.1pt;margin-top:0;width:189pt;height:11.4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" stroked="f">
                <v:textbox>
                  <w:txbxContent>
                    <w:p w14:paraId="1012E41A" w14:textId="3384125C" w:rsidR="0006065A" w:rsidRPr="0006065A" w:rsidRDefault="0006065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137C">
        <w:t>4</w:t>
      </w:r>
      <w:r w:rsidR="00571170">
        <w:t xml:space="preserve"> </w:t>
      </w:r>
      <w:r w:rsidR="00CA033E">
        <w:t>Avslutning</w:t>
      </w:r>
    </w:p>
    <w:p w14:paraId="76426262" w14:textId="075CF44B" w:rsidR="00CA033E" w:rsidRDefault="00CA033E" w:rsidP="000423A1">
      <w:pPr>
        <w:spacing w:after="120"/>
      </w:pPr>
      <w:r>
        <w:t xml:space="preserve">I arbeidet med å utvikle TDI-modellen har det vært </w:t>
      </w:r>
      <w:r w:rsidR="008C45E5">
        <w:t>e</w:t>
      </w:r>
      <w:r w:rsidR="00633DBB">
        <w:t>t</w:t>
      </w:r>
      <w:r w:rsidR="00483F88">
        <w:t xml:space="preserve"> </w:t>
      </w:r>
      <w:r w:rsidR="008C45E5">
        <w:t>særlig poeng</w:t>
      </w:r>
      <w:r>
        <w:t xml:space="preserve"> å kunne få ut informasjon om reell ressursbruk i prosjektene uten å pålegge institusjonene eller den enkelte ansatte mye merarbeid. Det krever en tilnærming der detaljeringsnivået ikke går lenger enn det som er absolutt nødvendig</w:t>
      </w:r>
      <w:r w:rsidR="00EE01A7">
        <w:t xml:space="preserve">, samtidig som kostnadsberegningene håndteres på en gjennomsiktig måte. </w:t>
      </w:r>
      <w:r>
        <w:t xml:space="preserve">Godt nok er tilstrekkelig. </w:t>
      </w:r>
    </w:p>
    <w:p w14:paraId="07491CA5" w14:textId="579EF547" w:rsidR="008D5712" w:rsidRDefault="008D5712" w:rsidP="000423A1">
      <w:pPr>
        <w:spacing w:after="120"/>
      </w:pPr>
      <w:r>
        <w:t>En av fordelene med TDI-modellen er at satsen for indirekte kostnader er uavhengig av fag. Bare direkte kostnader, herunder leiested, varierer mellom fagene</w:t>
      </w:r>
      <w:r w:rsidR="006672AD">
        <w:t xml:space="preserve">. </w:t>
      </w:r>
    </w:p>
    <w:p w14:paraId="4C808424" w14:textId="77777777" w:rsidR="009501A4" w:rsidRDefault="009501A4" w:rsidP="000423A1">
      <w:pPr>
        <w:spacing w:after="120"/>
        <w:sectPr w:rsidR="009501A4" w:rsidSect="00F7116D">
          <w:type w:val="continuous"/>
          <w:pgSz w:w="11906" w:h="16838" w:code="9"/>
          <w:pgMar w:top="1418" w:right="1418" w:bottom="1418" w:left="1418" w:header="709" w:footer="709" w:gutter="0"/>
          <w:cols w:num="2" w:space="708"/>
          <w:docGrid w:linePitch="360"/>
        </w:sectPr>
      </w:pPr>
    </w:p>
    <w:p w14:paraId="263F03CB" w14:textId="18F48725" w:rsidR="00633DBB" w:rsidRDefault="00633DBB" w:rsidP="000423A1">
      <w:pPr>
        <w:spacing w:after="120"/>
      </w:pPr>
    </w:p>
    <w:p w14:paraId="62C971BB" w14:textId="6C05C2D3" w:rsidR="009501A4" w:rsidRDefault="009501A4" w:rsidP="008D5712">
      <w:r>
        <w:t>TDI-modellen</w:t>
      </w:r>
      <w:r w:rsidR="00447CDF">
        <w:t xml:space="preserve"> </w:t>
      </w:r>
      <w:r>
        <w:t>– oppsummerende figur</w:t>
      </w:r>
    </w:p>
    <w:p w14:paraId="34100500" w14:textId="795ED49C" w:rsidR="008A7414" w:rsidRDefault="008A7414" w:rsidP="008D5712">
      <w:r w:rsidRPr="008A7414">
        <w:rPr>
          <w:noProof/>
        </w:rPr>
        <w:drawing>
          <wp:inline distT="0" distB="0" distL="0" distR="0" wp14:anchorId="7DF83FE0" wp14:editId="7C92DE80">
            <wp:extent cx="5759450" cy="1781810"/>
            <wp:effectExtent l="0" t="0" r="0" b="889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D4927" w14:textId="4F8A4FE8" w:rsidR="001E2AF8" w:rsidRDefault="001E2AF8" w:rsidP="008D5712"/>
    <w:p w14:paraId="6792CCBF" w14:textId="048055B2" w:rsidR="00467E93" w:rsidRPr="00960D95" w:rsidRDefault="00467E93" w:rsidP="00691696"/>
    <w:sectPr w:rsidR="00467E93" w:rsidRPr="00960D95" w:rsidSect="009501A4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E98A" w14:textId="77777777" w:rsidR="00085FE4" w:rsidRDefault="00085FE4" w:rsidP="005F1BE6">
      <w:pPr>
        <w:spacing w:after="0" w:line="240" w:lineRule="auto"/>
      </w:pPr>
      <w:r>
        <w:separator/>
      </w:r>
    </w:p>
  </w:endnote>
  <w:endnote w:type="continuationSeparator" w:id="0">
    <w:p w14:paraId="72446ADB" w14:textId="77777777" w:rsidR="00085FE4" w:rsidRDefault="00085FE4" w:rsidP="005F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641A" w14:textId="6A170426" w:rsidR="000A487A" w:rsidRDefault="000A487A">
    <w:pPr>
      <w:pStyle w:val="Bunntekst"/>
    </w:pPr>
    <w:r>
      <w:tab/>
    </w:r>
    <w:r>
      <w:tab/>
      <w:t xml:space="preserve">Side </w:t>
    </w:r>
    <w:r>
      <w:fldChar w:fldCharType="begin"/>
    </w:r>
    <w:r>
      <w:instrText>PAGE   \* MERGEFORMAT</w:instrText>
    </w:r>
    <w:r>
      <w:fldChar w:fldCharType="separate"/>
    </w:r>
    <w:r w:rsidR="00AF224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F0E2" w14:textId="7D29AA4F" w:rsidR="000A487A" w:rsidRDefault="009847CB">
    <w:pPr>
      <w:pStyle w:val="Bunntekst"/>
    </w:pPr>
    <w:fldSimple w:instr=" FILENAME   \* MERGEFORMAT ">
      <w:r>
        <w:rPr>
          <w:noProof/>
        </w:rPr>
        <w:t>TDI - versjon 15-05-2023</w:t>
      </w:r>
    </w:fldSimple>
    <w:r w:rsidR="00724586">
      <w:tab/>
    </w:r>
    <w:r w:rsidR="00724586">
      <w:tab/>
    </w:r>
    <w:proofErr w:type="spellStart"/>
    <w:r w:rsidR="00E42FC4">
      <w:t>UHRs</w:t>
    </w:r>
    <w:proofErr w:type="spellEnd"/>
    <w:r w:rsidR="00E42FC4">
      <w:t xml:space="preserve"> arbeidsgruppe vedr. TDI</w:t>
    </w:r>
    <w:r w:rsidR="00C748A5">
      <w:t xml:space="preserve"> v/Per Heitmann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7D41D" w14:textId="77777777" w:rsidR="00085FE4" w:rsidRDefault="00085FE4" w:rsidP="005F1BE6">
      <w:pPr>
        <w:spacing w:after="0" w:line="240" w:lineRule="auto"/>
      </w:pPr>
      <w:r>
        <w:separator/>
      </w:r>
    </w:p>
  </w:footnote>
  <w:footnote w:type="continuationSeparator" w:id="0">
    <w:p w14:paraId="3DB280C2" w14:textId="77777777" w:rsidR="00085FE4" w:rsidRDefault="00085FE4" w:rsidP="005F1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9DA"/>
    <w:multiLevelType w:val="hybridMultilevel"/>
    <w:tmpl w:val="C61CB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4408"/>
    <w:multiLevelType w:val="hybridMultilevel"/>
    <w:tmpl w:val="729C278A"/>
    <w:lvl w:ilvl="0" w:tplc="04140011">
      <w:start w:val="1"/>
      <w:numFmt w:val="decimal"/>
      <w:lvlText w:val="%1)"/>
      <w:lvlJc w:val="left"/>
      <w:pPr>
        <w:ind w:left="786" w:hanging="360"/>
      </w:p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233D9C"/>
    <w:multiLevelType w:val="hybridMultilevel"/>
    <w:tmpl w:val="B5F2A4C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1458BC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17845"/>
    <w:multiLevelType w:val="hybridMultilevel"/>
    <w:tmpl w:val="7ED073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D6C2F"/>
    <w:multiLevelType w:val="hybridMultilevel"/>
    <w:tmpl w:val="A6F474D4"/>
    <w:lvl w:ilvl="0" w:tplc="2AC8B600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2AB10FAA"/>
    <w:multiLevelType w:val="hybridMultilevel"/>
    <w:tmpl w:val="6BE4A4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A42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C3BE2"/>
    <w:multiLevelType w:val="hybridMultilevel"/>
    <w:tmpl w:val="010ECBF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B43AA"/>
    <w:multiLevelType w:val="hybridMultilevel"/>
    <w:tmpl w:val="42A62D2A"/>
    <w:lvl w:ilvl="0" w:tplc="0414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F2688"/>
    <w:multiLevelType w:val="hybridMultilevel"/>
    <w:tmpl w:val="DEB0A9EC"/>
    <w:lvl w:ilvl="0" w:tplc="04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45075CE8"/>
    <w:multiLevelType w:val="hybridMultilevel"/>
    <w:tmpl w:val="D8D4F1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B35A4"/>
    <w:multiLevelType w:val="hybridMultilevel"/>
    <w:tmpl w:val="415A697A"/>
    <w:lvl w:ilvl="0" w:tplc="1458B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D1499"/>
    <w:multiLevelType w:val="hybridMultilevel"/>
    <w:tmpl w:val="F15A957A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A08F1"/>
    <w:multiLevelType w:val="hybridMultilevel"/>
    <w:tmpl w:val="72FE17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35529"/>
    <w:multiLevelType w:val="hybridMultilevel"/>
    <w:tmpl w:val="AADA16D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D7DC3"/>
    <w:multiLevelType w:val="hybridMultilevel"/>
    <w:tmpl w:val="E5544444"/>
    <w:lvl w:ilvl="0" w:tplc="0414000F">
      <w:start w:val="1"/>
      <w:numFmt w:val="decimal"/>
      <w:lvlText w:val="%1."/>
      <w:lvlJc w:val="left"/>
      <w:pPr>
        <w:ind w:left="765" w:hanging="360"/>
      </w:p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BED746B"/>
    <w:multiLevelType w:val="hybridMultilevel"/>
    <w:tmpl w:val="20E429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506131">
    <w:abstractNumId w:val="7"/>
  </w:num>
  <w:num w:numId="2" w16cid:durableId="935791367">
    <w:abstractNumId w:val="14"/>
  </w:num>
  <w:num w:numId="3" w16cid:durableId="1059085868">
    <w:abstractNumId w:val="12"/>
  </w:num>
  <w:num w:numId="4" w16cid:durableId="135493465">
    <w:abstractNumId w:val="13"/>
  </w:num>
  <w:num w:numId="5" w16cid:durableId="1753576375">
    <w:abstractNumId w:val="8"/>
  </w:num>
  <w:num w:numId="6" w16cid:durableId="1454983102">
    <w:abstractNumId w:val="0"/>
  </w:num>
  <w:num w:numId="7" w16cid:durableId="1558666956">
    <w:abstractNumId w:val="3"/>
  </w:num>
  <w:num w:numId="8" w16cid:durableId="1424953004">
    <w:abstractNumId w:val="11"/>
  </w:num>
  <w:num w:numId="9" w16cid:durableId="1353265806">
    <w:abstractNumId w:val="5"/>
  </w:num>
  <w:num w:numId="10" w16cid:durableId="1382945636">
    <w:abstractNumId w:val="15"/>
  </w:num>
  <w:num w:numId="11" w16cid:durableId="1318076771">
    <w:abstractNumId w:val="9"/>
  </w:num>
  <w:num w:numId="12" w16cid:durableId="1201044138">
    <w:abstractNumId w:val="10"/>
  </w:num>
  <w:num w:numId="13" w16cid:durableId="120732647">
    <w:abstractNumId w:val="2"/>
  </w:num>
  <w:num w:numId="14" w16cid:durableId="265962346">
    <w:abstractNumId w:val="6"/>
  </w:num>
  <w:num w:numId="15" w16cid:durableId="353575094">
    <w:abstractNumId w:val="4"/>
  </w:num>
  <w:num w:numId="16" w16cid:durableId="63414417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6A"/>
    <w:rsid w:val="0000750B"/>
    <w:rsid w:val="00007DE4"/>
    <w:rsid w:val="00017DB6"/>
    <w:rsid w:val="00025760"/>
    <w:rsid w:val="000423A1"/>
    <w:rsid w:val="000445C5"/>
    <w:rsid w:val="000445FC"/>
    <w:rsid w:val="00050B3B"/>
    <w:rsid w:val="00051710"/>
    <w:rsid w:val="00053ECC"/>
    <w:rsid w:val="00055059"/>
    <w:rsid w:val="0005750A"/>
    <w:rsid w:val="0006065A"/>
    <w:rsid w:val="00070ACE"/>
    <w:rsid w:val="000752BF"/>
    <w:rsid w:val="000765C8"/>
    <w:rsid w:val="00085FE4"/>
    <w:rsid w:val="00096600"/>
    <w:rsid w:val="000A35E2"/>
    <w:rsid w:val="000A487A"/>
    <w:rsid w:val="000B378C"/>
    <w:rsid w:val="000B3DBA"/>
    <w:rsid w:val="000D216F"/>
    <w:rsid w:val="000D3E61"/>
    <w:rsid w:val="000E2FCC"/>
    <w:rsid w:val="000E3614"/>
    <w:rsid w:val="000F2429"/>
    <w:rsid w:val="000F722E"/>
    <w:rsid w:val="000F7F4C"/>
    <w:rsid w:val="001014F8"/>
    <w:rsid w:val="0011513A"/>
    <w:rsid w:val="0011549F"/>
    <w:rsid w:val="001215E9"/>
    <w:rsid w:val="00134D2B"/>
    <w:rsid w:val="0014316A"/>
    <w:rsid w:val="00144DE4"/>
    <w:rsid w:val="0014676D"/>
    <w:rsid w:val="00150D99"/>
    <w:rsid w:val="00153335"/>
    <w:rsid w:val="00156DFF"/>
    <w:rsid w:val="0018764A"/>
    <w:rsid w:val="00192C0F"/>
    <w:rsid w:val="001B1BCA"/>
    <w:rsid w:val="001C1132"/>
    <w:rsid w:val="001C40AA"/>
    <w:rsid w:val="001E1808"/>
    <w:rsid w:val="001E2AF8"/>
    <w:rsid w:val="001E5989"/>
    <w:rsid w:val="001F5ED5"/>
    <w:rsid w:val="00203490"/>
    <w:rsid w:val="002137BF"/>
    <w:rsid w:val="00213CA9"/>
    <w:rsid w:val="00217A24"/>
    <w:rsid w:val="00224051"/>
    <w:rsid w:val="00242AA2"/>
    <w:rsid w:val="002455DA"/>
    <w:rsid w:val="002604B8"/>
    <w:rsid w:val="00265780"/>
    <w:rsid w:val="00265BE4"/>
    <w:rsid w:val="0026735B"/>
    <w:rsid w:val="00280C64"/>
    <w:rsid w:val="00285F19"/>
    <w:rsid w:val="00295D1C"/>
    <w:rsid w:val="00297983"/>
    <w:rsid w:val="002A10A1"/>
    <w:rsid w:val="002A550D"/>
    <w:rsid w:val="002A59B4"/>
    <w:rsid w:val="002A5C67"/>
    <w:rsid w:val="002B21D7"/>
    <w:rsid w:val="002B44AA"/>
    <w:rsid w:val="002B657A"/>
    <w:rsid w:val="002C6A3C"/>
    <w:rsid w:val="002C723D"/>
    <w:rsid w:val="002D0EBD"/>
    <w:rsid w:val="002D3379"/>
    <w:rsid w:val="002E2695"/>
    <w:rsid w:val="002F1BB8"/>
    <w:rsid w:val="0031376A"/>
    <w:rsid w:val="00314B19"/>
    <w:rsid w:val="00320FF0"/>
    <w:rsid w:val="003247CA"/>
    <w:rsid w:val="003257C8"/>
    <w:rsid w:val="00326727"/>
    <w:rsid w:val="0034454E"/>
    <w:rsid w:val="00355C8A"/>
    <w:rsid w:val="003716B1"/>
    <w:rsid w:val="00375F28"/>
    <w:rsid w:val="00384704"/>
    <w:rsid w:val="00392367"/>
    <w:rsid w:val="0039470D"/>
    <w:rsid w:val="003A13AA"/>
    <w:rsid w:val="003A5B0B"/>
    <w:rsid w:val="003B5A7E"/>
    <w:rsid w:val="003C4271"/>
    <w:rsid w:val="003C6AF9"/>
    <w:rsid w:val="003D2483"/>
    <w:rsid w:val="003D6F4F"/>
    <w:rsid w:val="003E1E79"/>
    <w:rsid w:val="003E3AC3"/>
    <w:rsid w:val="003E6766"/>
    <w:rsid w:val="003E72B0"/>
    <w:rsid w:val="00424D54"/>
    <w:rsid w:val="004351C2"/>
    <w:rsid w:val="00437DCD"/>
    <w:rsid w:val="00444797"/>
    <w:rsid w:val="00447C1F"/>
    <w:rsid w:val="00447CDF"/>
    <w:rsid w:val="004566E6"/>
    <w:rsid w:val="00460607"/>
    <w:rsid w:val="00461106"/>
    <w:rsid w:val="004636CB"/>
    <w:rsid w:val="00466EA2"/>
    <w:rsid w:val="00467E93"/>
    <w:rsid w:val="004732DB"/>
    <w:rsid w:val="00476B7B"/>
    <w:rsid w:val="0048021F"/>
    <w:rsid w:val="00483F88"/>
    <w:rsid w:val="004847CF"/>
    <w:rsid w:val="00494749"/>
    <w:rsid w:val="00495CCA"/>
    <w:rsid w:val="004976F6"/>
    <w:rsid w:val="004A3493"/>
    <w:rsid w:val="004A6657"/>
    <w:rsid w:val="004C2C40"/>
    <w:rsid w:val="004C5291"/>
    <w:rsid w:val="004D271D"/>
    <w:rsid w:val="004F4A3A"/>
    <w:rsid w:val="004F7BE5"/>
    <w:rsid w:val="00502CF4"/>
    <w:rsid w:val="00507DC4"/>
    <w:rsid w:val="00516C6D"/>
    <w:rsid w:val="0052161B"/>
    <w:rsid w:val="00524472"/>
    <w:rsid w:val="00527DFE"/>
    <w:rsid w:val="0054198A"/>
    <w:rsid w:val="00541FB1"/>
    <w:rsid w:val="0054281A"/>
    <w:rsid w:val="00553033"/>
    <w:rsid w:val="00571170"/>
    <w:rsid w:val="00583221"/>
    <w:rsid w:val="00586F58"/>
    <w:rsid w:val="005910CC"/>
    <w:rsid w:val="00591C0A"/>
    <w:rsid w:val="005B5A38"/>
    <w:rsid w:val="005C00D7"/>
    <w:rsid w:val="005C0D83"/>
    <w:rsid w:val="005D4CBA"/>
    <w:rsid w:val="005D6420"/>
    <w:rsid w:val="005E4892"/>
    <w:rsid w:val="005E758D"/>
    <w:rsid w:val="005F06A3"/>
    <w:rsid w:val="005F1BE6"/>
    <w:rsid w:val="005F5B20"/>
    <w:rsid w:val="005F681E"/>
    <w:rsid w:val="00620540"/>
    <w:rsid w:val="00633DBB"/>
    <w:rsid w:val="0063604C"/>
    <w:rsid w:val="00636940"/>
    <w:rsid w:val="006622E8"/>
    <w:rsid w:val="006672AD"/>
    <w:rsid w:val="00667647"/>
    <w:rsid w:val="00672B44"/>
    <w:rsid w:val="00691696"/>
    <w:rsid w:val="006930D4"/>
    <w:rsid w:val="0069325A"/>
    <w:rsid w:val="00695AE4"/>
    <w:rsid w:val="006B2D12"/>
    <w:rsid w:val="006B4B00"/>
    <w:rsid w:val="006C4FFD"/>
    <w:rsid w:val="006C68C5"/>
    <w:rsid w:val="006D71B5"/>
    <w:rsid w:val="006F0311"/>
    <w:rsid w:val="006F163B"/>
    <w:rsid w:val="00704B99"/>
    <w:rsid w:val="00705AA7"/>
    <w:rsid w:val="0071532D"/>
    <w:rsid w:val="00724586"/>
    <w:rsid w:val="00724945"/>
    <w:rsid w:val="00726124"/>
    <w:rsid w:val="007379BA"/>
    <w:rsid w:val="00737F04"/>
    <w:rsid w:val="00743935"/>
    <w:rsid w:val="007452A2"/>
    <w:rsid w:val="0074719F"/>
    <w:rsid w:val="00752C6C"/>
    <w:rsid w:val="007566BF"/>
    <w:rsid w:val="0076220C"/>
    <w:rsid w:val="00770A1A"/>
    <w:rsid w:val="00773CDF"/>
    <w:rsid w:val="0077535E"/>
    <w:rsid w:val="00776232"/>
    <w:rsid w:val="00781F10"/>
    <w:rsid w:val="00782178"/>
    <w:rsid w:val="00784ACC"/>
    <w:rsid w:val="007873D6"/>
    <w:rsid w:val="00794791"/>
    <w:rsid w:val="007A6364"/>
    <w:rsid w:val="007A7244"/>
    <w:rsid w:val="007A75F9"/>
    <w:rsid w:val="007B0B07"/>
    <w:rsid w:val="007B4C1D"/>
    <w:rsid w:val="007B6762"/>
    <w:rsid w:val="007C0764"/>
    <w:rsid w:val="007C2DEB"/>
    <w:rsid w:val="007C762E"/>
    <w:rsid w:val="007D1D9B"/>
    <w:rsid w:val="007D71BD"/>
    <w:rsid w:val="007E54C3"/>
    <w:rsid w:val="00806753"/>
    <w:rsid w:val="0081034B"/>
    <w:rsid w:val="00811A37"/>
    <w:rsid w:val="008141E9"/>
    <w:rsid w:val="008240EC"/>
    <w:rsid w:val="00825CC6"/>
    <w:rsid w:val="0084182F"/>
    <w:rsid w:val="0084393A"/>
    <w:rsid w:val="00861F14"/>
    <w:rsid w:val="008655E7"/>
    <w:rsid w:val="0086618F"/>
    <w:rsid w:val="00866C2F"/>
    <w:rsid w:val="00876767"/>
    <w:rsid w:val="0089178E"/>
    <w:rsid w:val="008A347A"/>
    <w:rsid w:val="008A47ED"/>
    <w:rsid w:val="008A7414"/>
    <w:rsid w:val="008C1E7A"/>
    <w:rsid w:val="008C378B"/>
    <w:rsid w:val="008C45E5"/>
    <w:rsid w:val="008D5712"/>
    <w:rsid w:val="008E4649"/>
    <w:rsid w:val="009058CA"/>
    <w:rsid w:val="00914258"/>
    <w:rsid w:val="00921EE3"/>
    <w:rsid w:val="00945AB0"/>
    <w:rsid w:val="00945B15"/>
    <w:rsid w:val="009501A4"/>
    <w:rsid w:val="00960D95"/>
    <w:rsid w:val="00960ECE"/>
    <w:rsid w:val="00962363"/>
    <w:rsid w:val="009642E1"/>
    <w:rsid w:val="00971840"/>
    <w:rsid w:val="00972806"/>
    <w:rsid w:val="00975E30"/>
    <w:rsid w:val="009847CB"/>
    <w:rsid w:val="00985AB4"/>
    <w:rsid w:val="0098613A"/>
    <w:rsid w:val="00986CA6"/>
    <w:rsid w:val="009A292B"/>
    <w:rsid w:val="009B5D17"/>
    <w:rsid w:val="009C7B08"/>
    <w:rsid w:val="009E6F3F"/>
    <w:rsid w:val="009E79EE"/>
    <w:rsid w:val="009F6CA7"/>
    <w:rsid w:val="00A0212A"/>
    <w:rsid w:val="00A0640E"/>
    <w:rsid w:val="00A1137C"/>
    <w:rsid w:val="00A16A5E"/>
    <w:rsid w:val="00A1790B"/>
    <w:rsid w:val="00A21CF4"/>
    <w:rsid w:val="00A22294"/>
    <w:rsid w:val="00A22A40"/>
    <w:rsid w:val="00A36CAD"/>
    <w:rsid w:val="00A51AE9"/>
    <w:rsid w:val="00A55168"/>
    <w:rsid w:val="00A57E48"/>
    <w:rsid w:val="00A6011E"/>
    <w:rsid w:val="00A62095"/>
    <w:rsid w:val="00A757F2"/>
    <w:rsid w:val="00A808CC"/>
    <w:rsid w:val="00A84D4D"/>
    <w:rsid w:val="00A91411"/>
    <w:rsid w:val="00AA0D1B"/>
    <w:rsid w:val="00AC39C8"/>
    <w:rsid w:val="00AF1164"/>
    <w:rsid w:val="00AF2248"/>
    <w:rsid w:val="00AF2441"/>
    <w:rsid w:val="00AF2DF5"/>
    <w:rsid w:val="00AF484A"/>
    <w:rsid w:val="00B248FC"/>
    <w:rsid w:val="00B255C5"/>
    <w:rsid w:val="00B31D4F"/>
    <w:rsid w:val="00B53C22"/>
    <w:rsid w:val="00B67116"/>
    <w:rsid w:val="00B72D43"/>
    <w:rsid w:val="00B81052"/>
    <w:rsid w:val="00B81DF7"/>
    <w:rsid w:val="00B82914"/>
    <w:rsid w:val="00B86DF2"/>
    <w:rsid w:val="00B87D6C"/>
    <w:rsid w:val="00BA209D"/>
    <w:rsid w:val="00BA4C5F"/>
    <w:rsid w:val="00BA4EDE"/>
    <w:rsid w:val="00BA5630"/>
    <w:rsid w:val="00BA76BA"/>
    <w:rsid w:val="00BC4906"/>
    <w:rsid w:val="00BD1924"/>
    <w:rsid w:val="00C0285D"/>
    <w:rsid w:val="00C101A2"/>
    <w:rsid w:val="00C1526B"/>
    <w:rsid w:val="00C269F4"/>
    <w:rsid w:val="00C44226"/>
    <w:rsid w:val="00C45310"/>
    <w:rsid w:val="00C513DF"/>
    <w:rsid w:val="00C55481"/>
    <w:rsid w:val="00C57BCE"/>
    <w:rsid w:val="00C65F15"/>
    <w:rsid w:val="00C735FD"/>
    <w:rsid w:val="00C748A5"/>
    <w:rsid w:val="00C76D7B"/>
    <w:rsid w:val="00C835D1"/>
    <w:rsid w:val="00C930D2"/>
    <w:rsid w:val="00C93AE7"/>
    <w:rsid w:val="00CA033E"/>
    <w:rsid w:val="00CA09F8"/>
    <w:rsid w:val="00CA5DF2"/>
    <w:rsid w:val="00CB1F98"/>
    <w:rsid w:val="00CB5C78"/>
    <w:rsid w:val="00CB6F7A"/>
    <w:rsid w:val="00CC78E2"/>
    <w:rsid w:val="00CD2368"/>
    <w:rsid w:val="00CD3954"/>
    <w:rsid w:val="00CD4A11"/>
    <w:rsid w:val="00CD5F07"/>
    <w:rsid w:val="00CD69F5"/>
    <w:rsid w:val="00CF431D"/>
    <w:rsid w:val="00CF5487"/>
    <w:rsid w:val="00CF5E6A"/>
    <w:rsid w:val="00D008AD"/>
    <w:rsid w:val="00D029A3"/>
    <w:rsid w:val="00D04EC1"/>
    <w:rsid w:val="00D05C13"/>
    <w:rsid w:val="00D23FD8"/>
    <w:rsid w:val="00D45FE0"/>
    <w:rsid w:val="00D54B6E"/>
    <w:rsid w:val="00D64FFE"/>
    <w:rsid w:val="00D653C0"/>
    <w:rsid w:val="00D7243D"/>
    <w:rsid w:val="00D82F00"/>
    <w:rsid w:val="00D833D2"/>
    <w:rsid w:val="00D84210"/>
    <w:rsid w:val="00D84EF5"/>
    <w:rsid w:val="00D8516A"/>
    <w:rsid w:val="00DA70A1"/>
    <w:rsid w:val="00DB0F42"/>
    <w:rsid w:val="00DC3582"/>
    <w:rsid w:val="00DD2C1B"/>
    <w:rsid w:val="00DE19BC"/>
    <w:rsid w:val="00DE6B6B"/>
    <w:rsid w:val="00DF1657"/>
    <w:rsid w:val="00DF337D"/>
    <w:rsid w:val="00E07FAD"/>
    <w:rsid w:val="00E10394"/>
    <w:rsid w:val="00E104BF"/>
    <w:rsid w:val="00E11AA5"/>
    <w:rsid w:val="00E1700D"/>
    <w:rsid w:val="00E277A2"/>
    <w:rsid w:val="00E32BCA"/>
    <w:rsid w:val="00E3620A"/>
    <w:rsid w:val="00E4271A"/>
    <w:rsid w:val="00E42FC4"/>
    <w:rsid w:val="00E5463A"/>
    <w:rsid w:val="00E62F97"/>
    <w:rsid w:val="00E71A9F"/>
    <w:rsid w:val="00E72DEC"/>
    <w:rsid w:val="00E73814"/>
    <w:rsid w:val="00E8361D"/>
    <w:rsid w:val="00E879CE"/>
    <w:rsid w:val="00E92CAF"/>
    <w:rsid w:val="00E94384"/>
    <w:rsid w:val="00E9450B"/>
    <w:rsid w:val="00E94F50"/>
    <w:rsid w:val="00E9563A"/>
    <w:rsid w:val="00EB36C1"/>
    <w:rsid w:val="00EB6C09"/>
    <w:rsid w:val="00EC2889"/>
    <w:rsid w:val="00EC5870"/>
    <w:rsid w:val="00EC5ECD"/>
    <w:rsid w:val="00ED61A7"/>
    <w:rsid w:val="00EE01A7"/>
    <w:rsid w:val="00EE04EB"/>
    <w:rsid w:val="00EE45B4"/>
    <w:rsid w:val="00EE4996"/>
    <w:rsid w:val="00F00A36"/>
    <w:rsid w:val="00F13171"/>
    <w:rsid w:val="00F20DC8"/>
    <w:rsid w:val="00F22058"/>
    <w:rsid w:val="00F30AC3"/>
    <w:rsid w:val="00F3504B"/>
    <w:rsid w:val="00F40F1C"/>
    <w:rsid w:val="00F608F4"/>
    <w:rsid w:val="00F60B37"/>
    <w:rsid w:val="00F60CF4"/>
    <w:rsid w:val="00F640ED"/>
    <w:rsid w:val="00F65218"/>
    <w:rsid w:val="00F700D0"/>
    <w:rsid w:val="00F7116D"/>
    <w:rsid w:val="00F72F51"/>
    <w:rsid w:val="00F766F2"/>
    <w:rsid w:val="00F90633"/>
    <w:rsid w:val="00FB71B4"/>
    <w:rsid w:val="00FC1317"/>
    <w:rsid w:val="00FC1507"/>
    <w:rsid w:val="00FC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844C"/>
  <w15:docId w15:val="{A8FCAAE2-16BA-40B6-8DD4-E3EA58B2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137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37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261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711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376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13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13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5A7E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F1BE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F1BE6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F1BE6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29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7983"/>
  </w:style>
  <w:style w:type="paragraph" w:styleId="Bunntekst">
    <w:name w:val="footer"/>
    <w:basedOn w:val="Normal"/>
    <w:link w:val="BunntekstTegn"/>
    <w:uiPriority w:val="99"/>
    <w:unhideWhenUsed/>
    <w:rsid w:val="0029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7983"/>
  </w:style>
  <w:style w:type="character" w:customStyle="1" w:styleId="Overskrift3Tegn">
    <w:name w:val="Overskrift 3 Tegn"/>
    <w:basedOn w:val="Standardskriftforavsnitt"/>
    <w:link w:val="Overskrift3"/>
    <w:uiPriority w:val="9"/>
    <w:rsid w:val="0072612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rsid w:val="00F0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7C2DEB"/>
    <w:pPr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F711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erkreferanse">
    <w:name w:val="Intense Reference"/>
    <w:basedOn w:val="Standardskriftforavsnitt"/>
    <w:uiPriority w:val="32"/>
    <w:qFormat/>
    <w:rsid w:val="00F700D0"/>
    <w:rPr>
      <w:b/>
      <w:bCs/>
      <w:smallCaps/>
      <w:color w:val="4F81BD" w:themeColor="accent1"/>
      <w:spacing w:val="5"/>
    </w:rPr>
  </w:style>
  <w:style w:type="character" w:styleId="Hyperkobling">
    <w:name w:val="Hyperlink"/>
    <w:basedOn w:val="Standardskriftforavsnitt"/>
    <w:uiPriority w:val="99"/>
    <w:unhideWhenUsed/>
    <w:rsid w:val="006C4FFD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4531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45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hr.no/temasider/totalkostnadsmodell-td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hr.no/_f/p1/i64f7e2ca-e50c-4d91-b110-964445816ea7/tdi_gruppas_rapport_mai_2012_ver_jun_2013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769A-F080-45C9-A94E-74FD28BB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1499</Words>
  <Characters>7949</Characters>
  <Application>Microsoft Office Word</Application>
  <DocSecurity>4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Oslo</Company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perhei</dc:creator>
  <cp:lastModifiedBy>Per Arne Skjelvik</cp:lastModifiedBy>
  <cp:revision>2</cp:revision>
  <cp:lastPrinted>2023-05-15T12:26:00Z</cp:lastPrinted>
  <dcterms:created xsi:type="dcterms:W3CDTF">2023-12-03T19:01:00Z</dcterms:created>
  <dcterms:modified xsi:type="dcterms:W3CDTF">2023-12-03T19:01:00Z</dcterms:modified>
</cp:coreProperties>
</file>