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0C485" w14:textId="77777777" w:rsidR="001A6E3D" w:rsidRDefault="001A6E3D" w:rsidP="001A6E3D">
      <w:pPr>
        <w:pStyle w:val="Overskrift1"/>
      </w:pPr>
      <w:r>
        <w:t>Retningslinjer for de nasjonale fagorgan tilknyttet UHR-Kunst, arkitektur og design</w:t>
      </w:r>
    </w:p>
    <w:p w14:paraId="2ADBC464" w14:textId="112E8C70" w:rsidR="00FD0E48" w:rsidRPr="00FD0E48" w:rsidRDefault="00FD0E48" w:rsidP="00FD0E48">
      <w:pPr>
        <w:rPr>
          <w:lang w:eastAsia="nb-NO"/>
        </w:rPr>
      </w:pPr>
      <w:r>
        <w:rPr>
          <w:lang w:eastAsia="nb-NO"/>
        </w:rPr>
        <w:t xml:space="preserve">(rev. </w:t>
      </w:r>
      <w:r w:rsidR="007F3E90">
        <w:rPr>
          <w:lang w:eastAsia="nb-NO"/>
        </w:rPr>
        <w:t>240626)</w:t>
      </w:r>
    </w:p>
    <w:p w14:paraId="5B2FD4F7" w14:textId="77777777" w:rsidR="001A6E3D" w:rsidRDefault="001A6E3D" w:rsidP="001A6E3D">
      <w:pPr>
        <w:rPr>
          <w:rFonts w:cs="Arial"/>
        </w:rPr>
      </w:pPr>
      <w:r>
        <w:rPr>
          <w:rFonts w:cs="Arial"/>
        </w:rPr>
        <w:t>Retningslinjer for nasjonale fagorgan tilknyttet UHR-Kunst, design og arkitektur består av tre deler:</w:t>
      </w:r>
    </w:p>
    <w:p w14:paraId="5509FFD7" w14:textId="77777777" w:rsidR="001A6E3D" w:rsidRPr="00972911" w:rsidRDefault="001A6E3D" w:rsidP="001A6E3D">
      <w:pPr>
        <w:rPr>
          <w:rFonts w:cs="Arial"/>
        </w:rPr>
      </w:pPr>
      <w:r>
        <w:rPr>
          <w:rFonts w:cs="Arial"/>
        </w:rPr>
        <w:t>1. Oversikt over bestemmelsene som gjelder nasjonale fagorgan generelt, og som er nedfelt i dokumentet «</w:t>
      </w:r>
      <w:hyperlink r:id="rId8" w:history="1">
        <w:r w:rsidRPr="00972911">
          <w:rPr>
            <w:rStyle w:val="Hyperkobling"/>
            <w:rFonts w:cs="Arial"/>
          </w:rPr>
          <w:t>Retningslinjer for UHRs strategiske enheter</w:t>
        </w:r>
      </w:hyperlink>
      <w:r>
        <w:rPr>
          <w:rFonts w:cs="Arial"/>
        </w:rPr>
        <w:t>»</w:t>
      </w:r>
    </w:p>
    <w:p w14:paraId="7BA8BB76" w14:textId="77777777" w:rsidR="001A6E3D" w:rsidRDefault="001A6E3D" w:rsidP="001A6E3D">
      <w:pPr>
        <w:rPr>
          <w:rFonts w:cs="Arial"/>
        </w:rPr>
      </w:pPr>
      <w:r w:rsidRPr="00972911">
        <w:rPr>
          <w:rFonts w:cs="Arial"/>
        </w:rPr>
        <w:t>2. Utfyllende retningslinjer for nasjonale fagorgan tilknyttet UHR-Kunst, design og arkitektur.</w:t>
      </w:r>
    </w:p>
    <w:p w14:paraId="132C8E56" w14:textId="77777777" w:rsidR="001A6E3D" w:rsidRDefault="001A6E3D" w:rsidP="001A6E3D">
      <w:pPr>
        <w:rPr>
          <w:rFonts w:cs="Arial"/>
        </w:rPr>
      </w:pPr>
      <w:r>
        <w:rPr>
          <w:rFonts w:cs="Arial"/>
        </w:rPr>
        <w:t>3. Aktuelle oppgaver og ansvar</w:t>
      </w:r>
      <w:r>
        <w:rPr>
          <w:rFonts w:cs="Arial"/>
        </w:rPr>
        <w:br/>
      </w:r>
    </w:p>
    <w:p w14:paraId="2F5D4572" w14:textId="77777777" w:rsidR="001A6E3D" w:rsidRPr="00537C74" w:rsidRDefault="001A6E3D" w:rsidP="001A6E3D">
      <w:pPr>
        <w:pStyle w:val="Overskrift2"/>
      </w:pPr>
      <w:r w:rsidRPr="00537C74">
        <w:t>1. Oversikt over bestemmelsene som gjelder nasjonale fagorgan generelt, og som er nedfelt i dokumentet «Retningslinjer for UHRs strategiske enheter»</w:t>
      </w:r>
      <w:r w:rsidRPr="00537C74">
        <w:br/>
      </w:r>
    </w:p>
    <w:p w14:paraId="283DF5D7" w14:textId="77777777" w:rsidR="001A6E3D" w:rsidRPr="001A6E3D" w:rsidRDefault="001A6E3D" w:rsidP="001A6E3D">
      <w:pPr>
        <w:rPr>
          <w:rFonts w:cs="Arial"/>
          <w:b/>
        </w:rPr>
      </w:pPr>
      <w:r w:rsidRPr="001A6E3D">
        <w:rPr>
          <w:rFonts w:cs="Arial"/>
          <w:b/>
        </w:rPr>
        <w:t xml:space="preserve">§ 3 Sammensetning og representasjon </w:t>
      </w:r>
    </w:p>
    <w:p w14:paraId="6C0D0142" w14:textId="77777777" w:rsidR="001A6E3D" w:rsidRPr="001A6E3D" w:rsidRDefault="001A6E3D" w:rsidP="001A6E3D">
      <w:pPr>
        <w:rPr>
          <w:rFonts w:cs="Arial"/>
        </w:rPr>
      </w:pPr>
      <w:r w:rsidRPr="001A6E3D">
        <w:rPr>
          <w:rFonts w:cs="Arial"/>
        </w:rPr>
        <w:t xml:space="preserve">4. ledd: I enhetenes arbeidsutvalg og nasjonale fagorganer har NSO rett til én representant, med tilhørende vara. Studentrepresentantene oppnevnes for ett år om gangen. </w:t>
      </w:r>
    </w:p>
    <w:p w14:paraId="49F63E1B" w14:textId="77777777" w:rsidR="001A6E3D" w:rsidRPr="001A6E3D" w:rsidRDefault="001A6E3D" w:rsidP="001A6E3D">
      <w:pPr>
        <w:rPr>
          <w:rFonts w:cs="Arial"/>
          <w:b/>
        </w:rPr>
      </w:pPr>
      <w:r w:rsidRPr="001A6E3D">
        <w:rPr>
          <w:rFonts w:cs="Arial"/>
          <w:b/>
        </w:rPr>
        <w:t xml:space="preserve">§ 4 Arbeidsform </w:t>
      </w:r>
    </w:p>
    <w:p w14:paraId="06B978D7" w14:textId="4023F527" w:rsidR="001A6E3D" w:rsidRPr="001A6E3D" w:rsidRDefault="001A6E3D" w:rsidP="001A6E3D">
      <w:pPr>
        <w:rPr>
          <w:rFonts w:cs="Arial"/>
        </w:rPr>
      </w:pPr>
      <w:r w:rsidRPr="001A6E3D">
        <w:rPr>
          <w:rFonts w:cs="Arial"/>
        </w:rPr>
        <w:t>2. ledd: De strategiske enhetene og deres underliggende organer er beslutningsdyktige dersom minst halvparten av medlemmene er til stede. Hver medlemsinstitusjon har en stemme (og NSO har to stemmer [</w:t>
      </w:r>
      <w:r w:rsidR="00846118">
        <w:rPr>
          <w:rFonts w:cs="Arial"/>
        </w:rPr>
        <w:t>Studentrepresentanten</w:t>
      </w:r>
      <w:r w:rsidRPr="001A6E3D">
        <w:rPr>
          <w:rFonts w:cs="Arial"/>
        </w:rPr>
        <w:t xml:space="preserve"> har </w:t>
      </w:r>
      <w:r w:rsidR="009A56EC">
        <w:rPr>
          <w:rFonts w:cs="Arial"/>
        </w:rPr>
        <w:t>é</w:t>
      </w:r>
      <w:r w:rsidRPr="001A6E3D">
        <w:rPr>
          <w:rFonts w:cs="Arial"/>
        </w:rPr>
        <w:t>n stemme i fagorgan, ref</w:t>
      </w:r>
      <w:r w:rsidR="008454E7">
        <w:rPr>
          <w:rFonts w:cs="Arial"/>
        </w:rPr>
        <w:t>.</w:t>
      </w:r>
      <w:r w:rsidRPr="001A6E3D">
        <w:rPr>
          <w:rFonts w:cs="Arial"/>
        </w:rPr>
        <w:t xml:space="preserve">, § 3 ovenfor]). Vedtak treffes med alminnelig flertall. Ved stemmelikhet teller leders stemme dobbelt. </w:t>
      </w:r>
    </w:p>
    <w:p w14:paraId="145D7A38" w14:textId="77777777" w:rsidR="001A6E3D" w:rsidRPr="001A6E3D" w:rsidRDefault="001A6E3D" w:rsidP="001A6E3D">
      <w:pPr>
        <w:rPr>
          <w:rFonts w:cs="Arial"/>
          <w:b/>
        </w:rPr>
      </w:pPr>
      <w:r w:rsidRPr="001A6E3D">
        <w:rPr>
          <w:rFonts w:cs="Arial"/>
          <w:b/>
        </w:rPr>
        <w:t xml:space="preserve">§ 5 Arbeidsutvalg, nasjonale fagorganer og arbeidsgrupper </w:t>
      </w:r>
    </w:p>
    <w:p w14:paraId="61266CF7" w14:textId="77777777" w:rsidR="001A6E3D" w:rsidRPr="001A6E3D" w:rsidRDefault="001A6E3D" w:rsidP="001A6E3D">
      <w:pPr>
        <w:rPr>
          <w:rFonts w:cs="Arial"/>
        </w:rPr>
      </w:pPr>
      <w:r w:rsidRPr="001A6E3D">
        <w:rPr>
          <w:rFonts w:cs="Arial"/>
        </w:rPr>
        <w:t xml:space="preserve">2. ledd: For å sikre kontakten mellom den strategiske enheten og de nasjonale fagorganene, skal lederne av disse delta i møtene i de strategiske enhetene som har opprettet dem. De møter med tale- og forslagsrett, men ikke stemmerett. </w:t>
      </w:r>
    </w:p>
    <w:p w14:paraId="1A2F2988" w14:textId="77777777" w:rsidR="001A6E3D" w:rsidRPr="001A6E3D" w:rsidRDefault="001A6E3D" w:rsidP="001A6E3D">
      <w:pPr>
        <w:rPr>
          <w:rFonts w:cs="Arial"/>
          <w:b/>
        </w:rPr>
      </w:pPr>
      <w:r w:rsidRPr="001A6E3D">
        <w:rPr>
          <w:rFonts w:cs="Arial"/>
          <w:b/>
        </w:rPr>
        <w:t xml:space="preserve">§ 5.2.1 Nasjonale fagorganer og faste arbeidsgrupper </w:t>
      </w:r>
    </w:p>
    <w:p w14:paraId="1E590C2B" w14:textId="77777777" w:rsidR="001A6E3D" w:rsidRPr="001A6E3D" w:rsidRDefault="001A6E3D" w:rsidP="001A6E3D">
      <w:pPr>
        <w:rPr>
          <w:rFonts w:cs="Arial"/>
        </w:rPr>
      </w:pPr>
      <w:r w:rsidRPr="001A6E3D">
        <w:rPr>
          <w:rFonts w:cs="Arial"/>
        </w:rPr>
        <w:t xml:space="preserve">For å løse mer langsiktige oppgaver innenfor spesifikke fagfelt kan de strategiske enhetene opprette nasjonale fagorgan eller faste arbeidsgrupper. De nasjonale fagorganene har benevnelsen «Nasjonalt fagorgan for…..». </w:t>
      </w:r>
    </w:p>
    <w:p w14:paraId="59348537" w14:textId="77777777" w:rsidR="001A6E3D" w:rsidRPr="001A6E3D" w:rsidRDefault="001A6E3D" w:rsidP="001A6E3D">
      <w:pPr>
        <w:rPr>
          <w:rFonts w:cs="Arial"/>
        </w:rPr>
      </w:pPr>
      <w:r w:rsidRPr="001A6E3D">
        <w:rPr>
          <w:rFonts w:cs="Arial"/>
        </w:rPr>
        <w:t xml:space="preserve">Formålet med de nasjonale fagorganene og de faste arbeidsgruppene er å ivareta institusjonenes behov for faglig og administrativ utvikling, erfaringsdeling, samordning og nasjonal koordinering innenfor avgrensede fag- og temaområder. Øvrige formål og oppgaver gis av den strategiske enheten etter behov. </w:t>
      </w:r>
    </w:p>
    <w:p w14:paraId="4EE786A4" w14:textId="77777777" w:rsidR="001A6E3D" w:rsidRPr="001A6E3D" w:rsidRDefault="001A6E3D" w:rsidP="001A6E3D">
      <w:pPr>
        <w:rPr>
          <w:rFonts w:cs="Arial"/>
        </w:rPr>
      </w:pPr>
      <w:r w:rsidRPr="001A6E3D">
        <w:rPr>
          <w:rFonts w:cs="Arial"/>
        </w:rPr>
        <w:t xml:space="preserve">Nasjonale fagorganer og arbeidsgrupper rapporterer til den strategiske enheten. Beslutninger om opprettelse og nedleggelse av de nasjonale fagorganene kan påklages til UHRs styre. </w:t>
      </w:r>
    </w:p>
    <w:p w14:paraId="23251E7E" w14:textId="77777777" w:rsidR="001A6E3D" w:rsidRPr="001A6E3D" w:rsidRDefault="001A6E3D" w:rsidP="001A6E3D">
      <w:pPr>
        <w:rPr>
          <w:rFonts w:cs="Arial"/>
          <w:b/>
        </w:rPr>
      </w:pPr>
      <w:r w:rsidRPr="001A6E3D">
        <w:rPr>
          <w:rFonts w:cs="Arial"/>
          <w:b/>
        </w:rPr>
        <w:t xml:space="preserve">§ Administrativ støtte og ressurser </w:t>
      </w:r>
    </w:p>
    <w:p w14:paraId="620F843D" w14:textId="77777777" w:rsidR="001A6E3D" w:rsidRPr="001A6E3D" w:rsidRDefault="001A6E3D" w:rsidP="001A6E3D">
      <w:pPr>
        <w:rPr>
          <w:rFonts w:cs="Arial"/>
        </w:rPr>
      </w:pPr>
      <w:r w:rsidRPr="001A6E3D">
        <w:rPr>
          <w:rFonts w:cs="Arial"/>
        </w:rPr>
        <w:lastRenderedPageBreak/>
        <w:t xml:space="preserve">6 1. ledd, 2. setning: Administrativ støtte til underliggende organer legges normalt til institusjonen som har ledervervet i organet. </w:t>
      </w:r>
    </w:p>
    <w:p w14:paraId="08510868" w14:textId="0B37A969" w:rsidR="001A6E3D" w:rsidRPr="001A6E3D" w:rsidRDefault="001A6E3D" w:rsidP="001A6E3D">
      <w:pPr>
        <w:rPr>
          <w:rFonts w:cs="Arial"/>
        </w:rPr>
      </w:pPr>
      <w:r w:rsidRPr="001A6E3D">
        <w:rPr>
          <w:rFonts w:cs="Arial"/>
        </w:rPr>
        <w:t xml:space="preserve">2. ledd: Utgifter forbundet med deltakelse i møter i de strategiske enhetene, deres arbeidsutvalg og deres underliggende organer dekkes av de deltakende institusjoner og organisasjoner. </w:t>
      </w:r>
    </w:p>
    <w:p w14:paraId="27BC3501" w14:textId="77777777" w:rsidR="001A6E3D" w:rsidRPr="005C52CB" w:rsidRDefault="001A6E3D" w:rsidP="001A6E3D">
      <w:pPr>
        <w:rPr>
          <w:rFonts w:cs="Arial"/>
        </w:rPr>
      </w:pPr>
      <w:r w:rsidRPr="005C52CB">
        <w:rPr>
          <w:rFonts w:cs="Arial"/>
        </w:rPr>
        <w:t xml:space="preserve"> </w:t>
      </w:r>
    </w:p>
    <w:p w14:paraId="7A4A3C2E" w14:textId="77777777" w:rsidR="001A6E3D" w:rsidRPr="00537C74" w:rsidRDefault="001A6E3D" w:rsidP="001A6E3D">
      <w:pPr>
        <w:pStyle w:val="Overskrift2"/>
      </w:pPr>
      <w:r w:rsidRPr="00537C74">
        <w:t xml:space="preserve">2. Utfyllende retningslinjer for nasjonale fagråd tilknyttet UHR-Kunst, design og arkitektur  </w:t>
      </w:r>
    </w:p>
    <w:p w14:paraId="0CF3A23B" w14:textId="77777777" w:rsidR="001A6E3D" w:rsidRPr="001A6E3D" w:rsidRDefault="001A6E3D" w:rsidP="001A6E3D">
      <w:pPr>
        <w:rPr>
          <w:rFonts w:cstheme="minorHAnsi"/>
          <w:b/>
        </w:rPr>
      </w:pPr>
      <w:r w:rsidRPr="001A6E3D">
        <w:rPr>
          <w:rFonts w:cstheme="minorHAnsi"/>
          <w:b/>
        </w:rPr>
        <w:t xml:space="preserve">Sammensetning, representasjon og organisering </w:t>
      </w:r>
    </w:p>
    <w:p w14:paraId="79A36C19" w14:textId="33F9BDBC" w:rsidR="001A6E3D" w:rsidRPr="001A6E3D" w:rsidRDefault="00E2011F" w:rsidP="001A6E3D">
      <w:pPr>
        <w:pStyle w:val="Listeavsnitt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1A6E3D" w:rsidRPr="001A6E3D">
        <w:rPr>
          <w:rFonts w:asciiTheme="minorHAnsi" w:hAnsiTheme="minorHAnsi" w:cstheme="minorHAnsi"/>
        </w:rPr>
        <w:t>nstitusjoner og fakulteter som er medlem av UHR-Kunst, design og arkitektur kan melde inn representanter til de nasjonale fagorganene</w:t>
      </w:r>
      <w:r w:rsidR="009C4A04">
        <w:rPr>
          <w:rFonts w:asciiTheme="minorHAnsi" w:hAnsiTheme="minorHAnsi" w:cstheme="minorHAnsi"/>
        </w:rPr>
        <w:t xml:space="preserve">, jf. </w:t>
      </w:r>
      <w:r>
        <w:rPr>
          <w:rFonts w:asciiTheme="minorHAnsi" w:hAnsiTheme="minorHAnsi" w:cstheme="minorHAnsi"/>
        </w:rPr>
        <w:t xml:space="preserve">§ </w:t>
      </w:r>
      <w:r w:rsidR="00542F6E">
        <w:rPr>
          <w:rFonts w:asciiTheme="minorHAnsi" w:hAnsiTheme="minorHAnsi" w:cstheme="minorHAnsi"/>
        </w:rPr>
        <w:t>3</w:t>
      </w:r>
      <w:r w:rsidR="001A2F3A">
        <w:rPr>
          <w:rFonts w:asciiTheme="minorHAnsi" w:hAnsiTheme="minorHAnsi" w:cstheme="minorHAnsi"/>
        </w:rPr>
        <w:t xml:space="preserve"> i retningslinjene for UHRs strategiske enheter.</w:t>
      </w:r>
      <w:r w:rsidR="00DE61DD">
        <w:rPr>
          <w:rFonts w:asciiTheme="minorHAnsi" w:hAnsiTheme="minorHAnsi" w:cstheme="minorHAnsi"/>
        </w:rPr>
        <w:t xml:space="preserve"> I</w:t>
      </w:r>
      <w:r w:rsidR="00CB274A">
        <w:rPr>
          <w:rFonts w:asciiTheme="minorHAnsi" w:hAnsiTheme="minorHAnsi" w:cstheme="minorHAnsi"/>
        </w:rPr>
        <w:t xml:space="preserve"> tillegg kan fagorganet oppnevne </w:t>
      </w:r>
      <w:r w:rsidR="009B2464">
        <w:rPr>
          <w:rFonts w:asciiTheme="minorHAnsi" w:hAnsiTheme="minorHAnsi" w:cstheme="minorHAnsi"/>
        </w:rPr>
        <w:t>en studentrepresentant med vara.</w:t>
      </w:r>
    </w:p>
    <w:p w14:paraId="0D7703E8" w14:textId="77777777" w:rsidR="001A6E3D" w:rsidRPr="001A6E3D" w:rsidRDefault="001A6E3D" w:rsidP="001A6E3D">
      <w:pPr>
        <w:pStyle w:val="Listeavsnitt"/>
        <w:numPr>
          <w:ilvl w:val="0"/>
          <w:numId w:val="3"/>
        </w:numPr>
        <w:rPr>
          <w:rFonts w:asciiTheme="minorHAnsi" w:hAnsiTheme="minorHAnsi" w:cstheme="minorHAnsi"/>
        </w:rPr>
      </w:pPr>
      <w:r w:rsidRPr="001A6E3D">
        <w:rPr>
          <w:rFonts w:asciiTheme="minorHAnsi" w:hAnsiTheme="minorHAnsi" w:cstheme="minorHAnsi"/>
        </w:rPr>
        <w:t xml:space="preserve">Fagorganet kan ha eksterne deltakere, fra relevante fagmiljøer, arbeidsliv </w:t>
      </w:r>
      <w:r w:rsidR="00F05ECC">
        <w:rPr>
          <w:rFonts w:asciiTheme="minorHAnsi" w:hAnsiTheme="minorHAnsi" w:cstheme="minorHAnsi"/>
        </w:rPr>
        <w:t>og</w:t>
      </w:r>
      <w:r w:rsidRPr="001A6E3D">
        <w:rPr>
          <w:rFonts w:asciiTheme="minorHAnsi" w:hAnsiTheme="minorHAnsi" w:cstheme="minorHAnsi"/>
        </w:rPr>
        <w:t xml:space="preserve"> organisasjoner (observatører).  </w:t>
      </w:r>
    </w:p>
    <w:p w14:paraId="29DD8278" w14:textId="77777777" w:rsidR="001A6E3D" w:rsidRPr="001A6E3D" w:rsidRDefault="001A6E3D" w:rsidP="001A6E3D">
      <w:pPr>
        <w:pStyle w:val="Listeavsnitt"/>
        <w:numPr>
          <w:ilvl w:val="0"/>
          <w:numId w:val="3"/>
        </w:numPr>
        <w:rPr>
          <w:rFonts w:asciiTheme="minorHAnsi" w:hAnsiTheme="minorHAnsi" w:cstheme="minorHAnsi"/>
        </w:rPr>
      </w:pPr>
      <w:r w:rsidRPr="001A6E3D">
        <w:rPr>
          <w:rFonts w:asciiTheme="minorHAnsi" w:hAnsiTheme="minorHAnsi" w:cstheme="minorHAnsi"/>
        </w:rPr>
        <w:t xml:space="preserve">Fagorganet velger selv sin leder og sin organisering og holder UHR- Kunst, design og arkitektur orientert om dette. </w:t>
      </w:r>
    </w:p>
    <w:p w14:paraId="31E30F5C" w14:textId="77777777" w:rsidR="001A6E3D" w:rsidRPr="001A6E3D" w:rsidRDefault="001A6E3D" w:rsidP="001A6E3D">
      <w:pPr>
        <w:pStyle w:val="Listeavsnitt"/>
        <w:numPr>
          <w:ilvl w:val="0"/>
          <w:numId w:val="3"/>
        </w:numPr>
        <w:rPr>
          <w:rFonts w:asciiTheme="minorHAnsi" w:hAnsiTheme="minorHAnsi" w:cstheme="minorHAnsi"/>
        </w:rPr>
      </w:pPr>
      <w:r w:rsidRPr="001A6E3D">
        <w:rPr>
          <w:rFonts w:asciiTheme="minorHAnsi" w:hAnsiTheme="minorHAnsi" w:cstheme="minorHAnsi"/>
        </w:rPr>
        <w:t xml:space="preserve">Fagorganene kan ved behov utpeke mindre grupper for å gjennomføre spesifikke utviklingsoppdrag for UHR- Kunst, design og arkitektur. </w:t>
      </w:r>
    </w:p>
    <w:p w14:paraId="6ED1071F" w14:textId="788882D7" w:rsidR="001A6E3D" w:rsidRDefault="001A6E3D" w:rsidP="001A6E3D">
      <w:pPr>
        <w:pStyle w:val="Listeavsnitt"/>
        <w:numPr>
          <w:ilvl w:val="0"/>
          <w:numId w:val="3"/>
        </w:numPr>
        <w:rPr>
          <w:rFonts w:asciiTheme="minorHAnsi" w:hAnsiTheme="minorHAnsi" w:cstheme="minorHAnsi"/>
        </w:rPr>
      </w:pPr>
      <w:r w:rsidRPr="001A6E3D">
        <w:rPr>
          <w:rFonts w:asciiTheme="minorHAnsi" w:hAnsiTheme="minorHAnsi" w:cstheme="minorHAnsi"/>
        </w:rPr>
        <w:t>På møtene til UHR- Kunst, design og arkitektur</w:t>
      </w:r>
      <w:r w:rsidRPr="001A6E3D">
        <w:rPr>
          <w:rFonts w:cs="Arial"/>
        </w:rPr>
        <w:t xml:space="preserve"> </w:t>
      </w:r>
      <w:r w:rsidRPr="001A6E3D">
        <w:rPr>
          <w:rFonts w:asciiTheme="minorHAnsi" w:hAnsiTheme="minorHAnsi" w:cstheme="minorHAnsi"/>
        </w:rPr>
        <w:t xml:space="preserve">der leder ikke kan delta stiller fagorganet med en annen representant. </w:t>
      </w:r>
    </w:p>
    <w:p w14:paraId="28107BFA" w14:textId="054C1DC1" w:rsidR="003F1F70" w:rsidRPr="001A6E3D" w:rsidRDefault="005E242B" w:rsidP="001A6E3D">
      <w:pPr>
        <w:pStyle w:val="Listeavsnitt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Fagorganet kan selv fastsette nærmere retningslinjer for arbeidet i fagorganet, innenfor rammene av UHRs overordnede retningslinjer for nasjonale fagorganer og disse utfyllende retningslinjene.</w:t>
      </w:r>
    </w:p>
    <w:p w14:paraId="640B3422" w14:textId="77777777" w:rsidR="001A6E3D" w:rsidRPr="001A6E3D" w:rsidRDefault="001A6E3D" w:rsidP="001A6E3D">
      <w:pPr>
        <w:rPr>
          <w:rFonts w:cstheme="minorHAnsi"/>
          <w:b/>
        </w:rPr>
      </w:pPr>
      <w:r w:rsidRPr="001A6E3D">
        <w:rPr>
          <w:rFonts w:cstheme="minorHAnsi"/>
          <w:b/>
        </w:rPr>
        <w:t xml:space="preserve">Funksjonsperiode og evaluering </w:t>
      </w:r>
    </w:p>
    <w:p w14:paraId="1CDBF091" w14:textId="77777777" w:rsidR="001A6E3D" w:rsidRPr="001A6E3D" w:rsidRDefault="001A6E3D" w:rsidP="001A6E3D">
      <w:pPr>
        <w:pStyle w:val="Listeavsnitt"/>
        <w:numPr>
          <w:ilvl w:val="0"/>
          <w:numId w:val="2"/>
        </w:numPr>
        <w:spacing w:after="160" w:line="259" w:lineRule="auto"/>
        <w:rPr>
          <w:rFonts w:asciiTheme="minorHAnsi" w:hAnsiTheme="minorHAnsi" w:cstheme="minorHAnsi"/>
        </w:rPr>
      </w:pPr>
      <w:r w:rsidRPr="001A6E3D">
        <w:rPr>
          <w:rFonts w:asciiTheme="minorHAnsi" w:hAnsiTheme="minorHAnsi" w:cstheme="minorHAnsi"/>
        </w:rPr>
        <w:t xml:space="preserve">Funksjonsperioden for det enkelte medlem er knyttet til medlemmets rolle ved institusjonen. </w:t>
      </w:r>
    </w:p>
    <w:p w14:paraId="3CA8B9F3" w14:textId="77777777" w:rsidR="001A6E3D" w:rsidRPr="001A6E3D" w:rsidRDefault="001A6E3D" w:rsidP="001A6E3D">
      <w:pPr>
        <w:pStyle w:val="Listeavsnitt"/>
        <w:numPr>
          <w:ilvl w:val="0"/>
          <w:numId w:val="2"/>
        </w:numPr>
        <w:spacing w:after="160" w:line="259" w:lineRule="auto"/>
        <w:rPr>
          <w:rFonts w:asciiTheme="minorHAnsi" w:hAnsiTheme="minorHAnsi" w:cstheme="minorHAnsi"/>
        </w:rPr>
      </w:pPr>
      <w:r w:rsidRPr="001A6E3D">
        <w:rPr>
          <w:rFonts w:asciiTheme="minorHAnsi" w:hAnsiTheme="minorHAnsi" w:cstheme="minorHAnsi"/>
        </w:rPr>
        <w:t>UHR- Kunst, design og arkitektur eller fagorganet selv kan be om at det foretas en evaluering for ev. å avdekke forbedrings- og eller endringsbehov i arbeidsmåte, representasjon</w:t>
      </w:r>
      <w:r w:rsidR="00F05ECC">
        <w:rPr>
          <w:rFonts w:asciiTheme="minorHAnsi" w:hAnsiTheme="minorHAnsi" w:cstheme="minorHAnsi"/>
        </w:rPr>
        <w:t xml:space="preserve"> og</w:t>
      </w:r>
      <w:r w:rsidRPr="001A6E3D">
        <w:rPr>
          <w:rFonts w:asciiTheme="minorHAnsi" w:hAnsiTheme="minorHAnsi" w:cstheme="minorHAnsi"/>
        </w:rPr>
        <w:t xml:space="preserve"> inndeling.</w:t>
      </w:r>
    </w:p>
    <w:p w14:paraId="2FF27FDC" w14:textId="0D17F4EB" w:rsidR="001A6E3D" w:rsidRPr="004449E7" w:rsidRDefault="001A6E3D" w:rsidP="004449E7">
      <w:pPr>
        <w:rPr>
          <w:b/>
          <w:bCs/>
        </w:rPr>
      </w:pPr>
      <w:r w:rsidRPr="004449E7">
        <w:rPr>
          <w:b/>
          <w:bCs/>
        </w:rPr>
        <w:t>Ansvar og oppgaver</w:t>
      </w:r>
    </w:p>
    <w:p w14:paraId="051FF9EF" w14:textId="6A29B1FE" w:rsidR="001A6E3D" w:rsidRPr="001A6E3D" w:rsidRDefault="001A6E3D" w:rsidP="001A6E3D">
      <w:pPr>
        <w:rPr>
          <w:rFonts w:cstheme="minorHAnsi"/>
        </w:rPr>
      </w:pPr>
      <w:r w:rsidRPr="001A6E3D">
        <w:rPr>
          <w:rFonts w:cstheme="minorHAnsi"/>
        </w:rPr>
        <w:t>Fagorganene har ansvar for å igangsette og gjennomføre aktiviteter som er relevante for fagorganets område, og gir innspill til aktuelle saker til UHR- Kunst, design og arkitektur.</w:t>
      </w:r>
    </w:p>
    <w:p w14:paraId="36C40597" w14:textId="77777777" w:rsidR="001A6E3D" w:rsidRPr="001A6E3D" w:rsidRDefault="001A6E3D" w:rsidP="001A6E3D">
      <w:pPr>
        <w:rPr>
          <w:rFonts w:cstheme="minorHAnsi"/>
        </w:rPr>
      </w:pPr>
      <w:r w:rsidRPr="001A6E3D">
        <w:rPr>
          <w:rFonts w:cstheme="minorHAnsi"/>
        </w:rPr>
        <w:t xml:space="preserve">Fagorganene involveres i og bidrar i arbeid med tiltak i UHR- Kunst, design og arkitekturs   handlingsplan og pågående prosesser. </w:t>
      </w:r>
    </w:p>
    <w:p w14:paraId="19173B70" w14:textId="4FF91D20" w:rsidR="001A6E3D" w:rsidRPr="001A6E3D" w:rsidRDefault="001A6E3D" w:rsidP="001A6E3D">
      <w:pPr>
        <w:rPr>
          <w:rFonts w:cstheme="minorHAnsi"/>
          <w:szCs w:val="20"/>
        </w:rPr>
      </w:pPr>
      <w:r w:rsidRPr="001A6E3D">
        <w:rPr>
          <w:rFonts w:cstheme="minorHAnsi"/>
          <w:szCs w:val="20"/>
        </w:rPr>
        <w:t xml:space="preserve">Fagorganet rapporterer sin aktivitet til UHR- Kunst, design og arkitektur. Referater fra fagorganets møter sendes UHR- Kunst, design og arkitektur og legges ut på UHRs nettsider.  </w:t>
      </w:r>
    </w:p>
    <w:p w14:paraId="2B4FF967" w14:textId="77777777" w:rsidR="001A6E3D" w:rsidRPr="001A6E3D" w:rsidRDefault="001A6E3D" w:rsidP="001A6E3D">
      <w:pPr>
        <w:rPr>
          <w:rFonts w:cstheme="minorHAnsi"/>
          <w:szCs w:val="20"/>
        </w:rPr>
      </w:pPr>
      <w:r w:rsidRPr="001A6E3D">
        <w:rPr>
          <w:rFonts w:cstheme="minorHAnsi"/>
          <w:szCs w:val="20"/>
        </w:rPr>
        <w:t xml:space="preserve">UHR- Kunst, design og arkitekturs handlingsplan gir føringer for fagorganenes oppgaver.  </w:t>
      </w:r>
    </w:p>
    <w:p w14:paraId="76CACA13" w14:textId="44DC6D68" w:rsidR="001A6E3D" w:rsidRPr="00C84B12" w:rsidRDefault="004A455E" w:rsidP="001A6E3D">
      <w:pPr>
        <w:rPr>
          <w:rFonts w:cs="Arial"/>
        </w:rPr>
      </w:pPr>
      <w:r>
        <w:rPr>
          <w:rFonts w:cs="Arial"/>
        </w:rPr>
        <w:t>Publiser</w:t>
      </w:r>
      <w:r w:rsidR="00157D39">
        <w:rPr>
          <w:rFonts w:cs="Arial"/>
        </w:rPr>
        <w:t>i</w:t>
      </w:r>
      <w:r>
        <w:rPr>
          <w:rFonts w:cs="Arial"/>
        </w:rPr>
        <w:t xml:space="preserve">ngskomiteen for kunst, design og arkitektur oppnevnes av </w:t>
      </w:r>
      <w:r w:rsidR="00350602">
        <w:rPr>
          <w:rFonts w:cs="Arial"/>
        </w:rPr>
        <w:t xml:space="preserve">UHR-Kunst, design og arkitektur </w:t>
      </w:r>
      <w:r w:rsidR="00157D39">
        <w:rPr>
          <w:rFonts w:cs="Arial"/>
        </w:rPr>
        <w:t>for en periode på fire år, med mulighet for gjenoppnevning for en periode.</w:t>
      </w:r>
    </w:p>
    <w:p w14:paraId="5CB729F2" w14:textId="77777777" w:rsidR="00DB45B5" w:rsidRDefault="00DB45B5" w:rsidP="00DB45B5"/>
    <w:sectPr w:rsidR="00DB4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F3E44"/>
    <w:multiLevelType w:val="hybridMultilevel"/>
    <w:tmpl w:val="7A1ACED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D7C6AAA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0A1B2C"/>
    <w:multiLevelType w:val="hybridMultilevel"/>
    <w:tmpl w:val="3CC8221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75251A7"/>
    <w:multiLevelType w:val="hybridMultilevel"/>
    <w:tmpl w:val="861A1F3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3757338">
    <w:abstractNumId w:val="0"/>
  </w:num>
  <w:num w:numId="2" w16cid:durableId="216207649">
    <w:abstractNumId w:val="1"/>
  </w:num>
  <w:num w:numId="3" w16cid:durableId="1882277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5B5"/>
    <w:rsid w:val="00157D39"/>
    <w:rsid w:val="001A2F3A"/>
    <w:rsid w:val="001A6E3D"/>
    <w:rsid w:val="001E1D78"/>
    <w:rsid w:val="00350602"/>
    <w:rsid w:val="003F1F70"/>
    <w:rsid w:val="004449E7"/>
    <w:rsid w:val="004A455E"/>
    <w:rsid w:val="00542F6E"/>
    <w:rsid w:val="005E242B"/>
    <w:rsid w:val="0065097E"/>
    <w:rsid w:val="007B561D"/>
    <w:rsid w:val="007D7B30"/>
    <w:rsid w:val="007F3E90"/>
    <w:rsid w:val="008454E7"/>
    <w:rsid w:val="00846118"/>
    <w:rsid w:val="009755A2"/>
    <w:rsid w:val="009A56EC"/>
    <w:rsid w:val="009B2464"/>
    <w:rsid w:val="009C4A04"/>
    <w:rsid w:val="00A068B6"/>
    <w:rsid w:val="00B5190B"/>
    <w:rsid w:val="00B60B56"/>
    <w:rsid w:val="00CA18F1"/>
    <w:rsid w:val="00CB274A"/>
    <w:rsid w:val="00DB45B5"/>
    <w:rsid w:val="00DE61DD"/>
    <w:rsid w:val="00E158D8"/>
    <w:rsid w:val="00E2011F"/>
    <w:rsid w:val="00F05ECC"/>
    <w:rsid w:val="00FD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70290"/>
  <w15:chartTrackingRefBased/>
  <w15:docId w15:val="{2B446AC0-4853-4401-A72A-DF26BFAF9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A6E3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A6E3D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A6E3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A6E3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nb-NO"/>
    </w:rPr>
  </w:style>
  <w:style w:type="paragraph" w:styleId="Listeavsnitt">
    <w:name w:val="List Paragraph"/>
    <w:basedOn w:val="Normal"/>
    <w:uiPriority w:val="34"/>
    <w:qFormat/>
    <w:rsid w:val="001A6E3D"/>
    <w:pPr>
      <w:spacing w:after="200" w:line="276" w:lineRule="auto"/>
      <w:ind w:left="720"/>
      <w:contextualSpacing/>
    </w:pPr>
    <w:rPr>
      <w:rFonts w:ascii="Arial" w:eastAsiaTheme="minorEastAsia" w:hAnsi="Arial"/>
      <w:lang w:eastAsia="nb-NO"/>
    </w:rPr>
  </w:style>
  <w:style w:type="character" w:styleId="Hyperkobling">
    <w:name w:val="Hyperlink"/>
    <w:basedOn w:val="Standardskriftforavsnitt"/>
    <w:uiPriority w:val="99"/>
    <w:unhideWhenUsed/>
    <w:rsid w:val="001A6E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1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4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7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6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4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hr.no/om/strategi-vedtekter-og-retningslinjer/retningslinjer-for-uhrs-strategiske-enheter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71F8E015CB8349BDF801FBFC892966" ma:contentTypeVersion="6" ma:contentTypeDescription="Opprett et nytt dokument." ma:contentTypeScope="" ma:versionID="0bfc5df7da5a322179b9b890951ed5ef">
  <xsd:schema xmlns:xsd="http://www.w3.org/2001/XMLSchema" xmlns:xs="http://www.w3.org/2001/XMLSchema" xmlns:p="http://schemas.microsoft.com/office/2006/metadata/properties" xmlns:ns2="f1457d63-8be5-4586-8bb5-f705fec70c67" xmlns:ns3="251e0fb5-bf36-495e-8294-83b80673fed7" targetNamespace="http://schemas.microsoft.com/office/2006/metadata/properties" ma:root="true" ma:fieldsID="af9e8c6d963a7514c6a479d0083c2571" ns2:_="" ns3:_="">
    <xsd:import namespace="f1457d63-8be5-4586-8bb5-f705fec70c67"/>
    <xsd:import namespace="251e0fb5-bf36-495e-8294-83b80673fe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57d63-8be5-4586-8bb5-f705fec70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1e0fb5-bf36-495e-8294-83b80673fe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315C5B-AE18-4B46-86FF-82786A0D8E03}"/>
</file>

<file path=customXml/itemProps2.xml><?xml version="1.0" encoding="utf-8"?>
<ds:datastoreItem xmlns:ds="http://schemas.openxmlformats.org/officeDocument/2006/customXml" ds:itemID="{5244197B-D515-4067-A6B7-748D72B7CD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9AC934-388D-4FA4-A746-F0E6A948EA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680</Words>
  <Characters>4230</Characters>
  <Application>Microsoft Office Word</Application>
  <DocSecurity>0</DocSecurity>
  <Lines>103</Lines>
  <Paragraphs>54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Glasser</dc:creator>
  <cp:keywords/>
  <dc:description/>
  <cp:lastModifiedBy>Rachel Glasser</cp:lastModifiedBy>
  <cp:revision>15</cp:revision>
  <dcterms:created xsi:type="dcterms:W3CDTF">2020-04-06T09:53:00Z</dcterms:created>
  <dcterms:modified xsi:type="dcterms:W3CDTF">2026-06-24T12:05:00Z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0x010100DD71F8E015CB8349BDF801FBFC892966</vt:lpwstr>
  </property>
  <property fmtid="{D5CDD505-2E9C-101B-9397-08002B2CF9AE}" pid="3" name="Order">
    <vt:r8>7100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Samhandlingsrom">
    <vt:lpwstr>UHR-Kunst design og arkitektur</vt:lpwstr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